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C7" w:rsidRPr="00EB6C35" w:rsidRDefault="00777BC7" w:rsidP="0043592E">
      <w:pPr>
        <w:jc w:val="center"/>
        <w:rPr>
          <w:b/>
          <w:bCs/>
          <w:color w:val="auto"/>
        </w:rPr>
      </w:pPr>
    </w:p>
    <w:p w:rsidR="0043592E" w:rsidRPr="002E3953" w:rsidRDefault="00936C4D" w:rsidP="00936C4D">
      <w:pPr>
        <w:jc w:val="center"/>
        <w:rPr>
          <w:b/>
          <w:bCs/>
          <w:color w:val="auto"/>
        </w:rPr>
      </w:pPr>
      <w:r w:rsidRPr="002E3953">
        <w:rPr>
          <w:b/>
          <w:bCs/>
          <w:color w:val="auto"/>
        </w:rPr>
        <w:t>FOND ZA ZAŠTITU OKOLIŠA I ENERGETSKU UČINKOVITOST</w:t>
      </w:r>
    </w:p>
    <w:p w:rsidR="0043592E" w:rsidRPr="002E3953" w:rsidRDefault="0043592E" w:rsidP="00936C4D">
      <w:pPr>
        <w:jc w:val="center"/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777BC7" w:rsidRPr="002E3953" w:rsidRDefault="00777BC7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43592E" w:rsidRPr="002E3953" w:rsidRDefault="0043592E" w:rsidP="0043592E">
      <w:pPr>
        <w:rPr>
          <w:b/>
          <w:bCs/>
          <w:color w:val="auto"/>
        </w:rPr>
      </w:pPr>
    </w:p>
    <w:p w:rsidR="0043592E" w:rsidRPr="002E3953" w:rsidRDefault="0043592E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BB645F" w:rsidP="0043592E">
      <w:pPr>
        <w:jc w:val="center"/>
        <w:rPr>
          <w:b/>
          <w:bCs/>
          <w:color w:val="auto"/>
        </w:rPr>
      </w:pPr>
      <w:r w:rsidRPr="002E3953">
        <w:rPr>
          <w:b/>
          <w:bCs/>
          <w:color w:val="auto"/>
        </w:rPr>
        <w:t>PROJEKTNI ZADATAK</w:t>
      </w:r>
    </w:p>
    <w:p w:rsidR="00E90EB8" w:rsidRPr="002E3953" w:rsidRDefault="00E90EB8" w:rsidP="0043592E">
      <w:pPr>
        <w:rPr>
          <w:b/>
          <w:bCs/>
          <w:color w:val="auto"/>
        </w:rPr>
      </w:pPr>
    </w:p>
    <w:p w:rsidR="00E90EB8" w:rsidRPr="002E3953" w:rsidRDefault="0067233A" w:rsidP="00897559">
      <w:pPr>
        <w:jc w:val="center"/>
        <w:rPr>
          <w:b/>
          <w:bCs/>
          <w:caps/>
          <w:color w:val="auto"/>
        </w:rPr>
      </w:pPr>
      <w:r w:rsidRPr="002E3953">
        <w:rPr>
          <w:b/>
          <w:bCs/>
          <w:caps/>
          <w:color w:val="auto"/>
        </w:rPr>
        <w:t xml:space="preserve">ZA IzradU Nacrta nacionalnog računskog plana za šumarstvo, uključujući i predloženu referentnu razinu za šume za razdoblje od 2021. do 2025. </w:t>
      </w: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b/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E90EB8" w:rsidRPr="002E3953" w:rsidRDefault="00E90EB8" w:rsidP="0043592E">
      <w:pPr>
        <w:rPr>
          <w:color w:val="auto"/>
        </w:rPr>
      </w:pPr>
    </w:p>
    <w:p w:rsidR="005D367A" w:rsidRPr="002E3953" w:rsidRDefault="005D367A" w:rsidP="0043592E">
      <w:pPr>
        <w:rPr>
          <w:color w:val="auto"/>
        </w:rPr>
      </w:pPr>
    </w:p>
    <w:p w:rsidR="005D367A" w:rsidRPr="002E3953" w:rsidRDefault="005D367A" w:rsidP="0043592E">
      <w:pPr>
        <w:rPr>
          <w:color w:val="auto"/>
        </w:rPr>
      </w:pPr>
    </w:p>
    <w:p w:rsidR="0043592E" w:rsidRPr="002E3953" w:rsidRDefault="00E90EB8" w:rsidP="0043592E">
      <w:pPr>
        <w:jc w:val="center"/>
        <w:rPr>
          <w:b/>
          <w:bCs/>
          <w:color w:val="auto"/>
        </w:rPr>
      </w:pPr>
      <w:r w:rsidRPr="002E3953">
        <w:rPr>
          <w:b/>
          <w:bCs/>
          <w:color w:val="auto"/>
        </w:rPr>
        <w:t xml:space="preserve">Zagreb, </w:t>
      </w:r>
      <w:r w:rsidR="000C5ECB" w:rsidRPr="002E3953">
        <w:rPr>
          <w:b/>
          <w:bCs/>
          <w:color w:val="auto"/>
        </w:rPr>
        <w:t>travanj</w:t>
      </w:r>
      <w:r w:rsidR="0078145E" w:rsidRPr="002E3953">
        <w:rPr>
          <w:b/>
          <w:bCs/>
          <w:color w:val="auto"/>
        </w:rPr>
        <w:t xml:space="preserve"> </w:t>
      </w:r>
      <w:r w:rsidRPr="002E3953">
        <w:rPr>
          <w:b/>
          <w:bCs/>
          <w:color w:val="auto"/>
        </w:rPr>
        <w:t>20</w:t>
      </w:r>
      <w:r w:rsidR="005D367A" w:rsidRPr="002E3953">
        <w:rPr>
          <w:b/>
          <w:bCs/>
          <w:color w:val="auto"/>
        </w:rPr>
        <w:t>1</w:t>
      </w:r>
      <w:r w:rsidR="009412CD" w:rsidRPr="002E3953">
        <w:rPr>
          <w:b/>
          <w:bCs/>
          <w:color w:val="auto"/>
        </w:rPr>
        <w:t>8</w:t>
      </w:r>
      <w:r w:rsidR="0081024F" w:rsidRPr="002E3953">
        <w:rPr>
          <w:b/>
          <w:bCs/>
          <w:color w:val="auto"/>
        </w:rPr>
        <w:t>.</w:t>
      </w:r>
      <w:r w:rsidR="0043592E" w:rsidRPr="002E3953">
        <w:rPr>
          <w:b/>
          <w:bCs/>
          <w:color w:val="auto"/>
        </w:rPr>
        <w:br/>
      </w:r>
    </w:p>
    <w:p w:rsidR="0043592E" w:rsidRPr="002E3953" w:rsidRDefault="0043592E">
      <w:pPr>
        <w:jc w:val="left"/>
        <w:rPr>
          <w:b/>
          <w:bCs/>
          <w:color w:val="auto"/>
        </w:rPr>
      </w:pPr>
      <w:r w:rsidRPr="002E3953">
        <w:rPr>
          <w:b/>
          <w:bCs/>
          <w:color w:val="auto"/>
        </w:rPr>
        <w:br w:type="page"/>
      </w:r>
    </w:p>
    <w:p w:rsidR="00E90EB8" w:rsidRPr="002E3953" w:rsidRDefault="00C87632" w:rsidP="00C87632">
      <w:pPr>
        <w:jc w:val="left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Sadržaj:</w:t>
      </w:r>
    </w:p>
    <w:p w:rsidR="00211177" w:rsidRDefault="00C87632">
      <w:pPr>
        <w:pStyle w:val="Sadraj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hr-HR"/>
        </w:rPr>
      </w:pPr>
      <w:r>
        <w:rPr>
          <w:rFonts w:ascii="Arial" w:hAnsi="Arial" w:cs="Arial"/>
          <w:color w:val="auto"/>
        </w:rPr>
        <w:fldChar w:fldCharType="begin"/>
      </w:r>
      <w:r>
        <w:rPr>
          <w:rFonts w:ascii="Arial" w:hAnsi="Arial" w:cs="Arial"/>
          <w:color w:val="auto"/>
        </w:rPr>
        <w:instrText xml:space="preserve"> TOC \o "1-3" \h \z \u </w:instrText>
      </w:r>
      <w:r>
        <w:rPr>
          <w:rFonts w:ascii="Arial" w:hAnsi="Arial" w:cs="Arial"/>
          <w:color w:val="auto"/>
        </w:rPr>
        <w:fldChar w:fldCharType="separate"/>
      </w:r>
      <w:hyperlink w:anchor="_Toc512520976" w:history="1">
        <w:r w:rsidR="00211177" w:rsidRPr="00C55613">
          <w:rPr>
            <w:rStyle w:val="Hiperveza"/>
            <w:noProof/>
          </w:rPr>
          <w:t>1.</w:t>
        </w:r>
        <w:r w:rsidR="0021117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hr-HR"/>
          </w:rPr>
          <w:tab/>
        </w:r>
        <w:r w:rsidR="00211177" w:rsidRPr="00C55613">
          <w:rPr>
            <w:rStyle w:val="Hiperveza"/>
            <w:noProof/>
          </w:rPr>
          <w:t>Uvodne odredbe projektnog zadatka</w:t>
        </w:r>
        <w:r w:rsidR="00211177">
          <w:rPr>
            <w:noProof/>
            <w:webHidden/>
          </w:rPr>
          <w:tab/>
        </w:r>
        <w:r w:rsidR="00211177">
          <w:rPr>
            <w:noProof/>
            <w:webHidden/>
          </w:rPr>
          <w:fldChar w:fldCharType="begin"/>
        </w:r>
        <w:r w:rsidR="00211177">
          <w:rPr>
            <w:noProof/>
            <w:webHidden/>
          </w:rPr>
          <w:instrText xml:space="preserve"> PAGEREF _Toc512520976 \h </w:instrText>
        </w:r>
        <w:r w:rsidR="00211177">
          <w:rPr>
            <w:noProof/>
            <w:webHidden/>
          </w:rPr>
        </w:r>
        <w:r w:rsidR="00211177">
          <w:rPr>
            <w:noProof/>
            <w:webHidden/>
          </w:rPr>
          <w:fldChar w:fldCharType="separate"/>
        </w:r>
        <w:r w:rsidR="00211177">
          <w:rPr>
            <w:noProof/>
            <w:webHidden/>
          </w:rPr>
          <w:t>3</w:t>
        </w:r>
        <w:r w:rsidR="00211177">
          <w:rPr>
            <w:noProof/>
            <w:webHidden/>
          </w:rPr>
          <w:fldChar w:fldCharType="end"/>
        </w:r>
      </w:hyperlink>
    </w:p>
    <w:p w:rsidR="00211177" w:rsidRDefault="005055A3">
      <w:pPr>
        <w:pStyle w:val="Sadraj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hr-HR"/>
        </w:rPr>
      </w:pPr>
      <w:hyperlink w:anchor="_Toc512520977" w:history="1">
        <w:r w:rsidR="00211177" w:rsidRPr="00C55613">
          <w:rPr>
            <w:rStyle w:val="Hiperveza"/>
            <w:noProof/>
          </w:rPr>
          <w:t>2.</w:t>
        </w:r>
        <w:r w:rsidR="0021117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hr-HR"/>
          </w:rPr>
          <w:tab/>
        </w:r>
        <w:r w:rsidR="00211177" w:rsidRPr="00C55613">
          <w:rPr>
            <w:rStyle w:val="Hiperveza"/>
            <w:noProof/>
          </w:rPr>
          <w:t>Cilj izrade Nacrta nacionalnog računskog plana za šumarstvo, uključujući i predloženu referentnu razinu za šume za razdoblje od 2021. do 2025.</w:t>
        </w:r>
        <w:r w:rsidR="00211177">
          <w:rPr>
            <w:noProof/>
            <w:webHidden/>
          </w:rPr>
          <w:tab/>
        </w:r>
        <w:r w:rsidR="00211177">
          <w:rPr>
            <w:noProof/>
            <w:webHidden/>
          </w:rPr>
          <w:fldChar w:fldCharType="begin"/>
        </w:r>
        <w:r w:rsidR="00211177">
          <w:rPr>
            <w:noProof/>
            <w:webHidden/>
          </w:rPr>
          <w:instrText xml:space="preserve"> PAGEREF _Toc512520977 \h </w:instrText>
        </w:r>
        <w:r w:rsidR="00211177">
          <w:rPr>
            <w:noProof/>
            <w:webHidden/>
          </w:rPr>
        </w:r>
        <w:r w:rsidR="00211177">
          <w:rPr>
            <w:noProof/>
            <w:webHidden/>
          </w:rPr>
          <w:fldChar w:fldCharType="separate"/>
        </w:r>
        <w:r w:rsidR="00211177">
          <w:rPr>
            <w:noProof/>
            <w:webHidden/>
          </w:rPr>
          <w:t>4</w:t>
        </w:r>
        <w:r w:rsidR="00211177">
          <w:rPr>
            <w:noProof/>
            <w:webHidden/>
          </w:rPr>
          <w:fldChar w:fldCharType="end"/>
        </w:r>
      </w:hyperlink>
    </w:p>
    <w:p w:rsidR="00211177" w:rsidRDefault="005055A3">
      <w:pPr>
        <w:pStyle w:val="Sadraj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hr-HR"/>
        </w:rPr>
      </w:pPr>
      <w:hyperlink w:anchor="_Toc512520978" w:history="1">
        <w:r w:rsidR="00211177" w:rsidRPr="00C55613">
          <w:rPr>
            <w:rStyle w:val="Hiperveza"/>
            <w:noProof/>
          </w:rPr>
          <w:t>3.</w:t>
        </w:r>
        <w:r w:rsidR="0021117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hr-HR"/>
          </w:rPr>
          <w:tab/>
        </w:r>
        <w:r w:rsidR="00211177" w:rsidRPr="00C55613">
          <w:rPr>
            <w:rStyle w:val="Hiperveza"/>
            <w:noProof/>
          </w:rPr>
          <w:t>Organizacija rada izrade Nacrta nacionalnog računskog plana za šumarstvo, uključujući i predloženu referentnu razinu za šume za razdoblje od 2021. do 2025.</w:t>
        </w:r>
        <w:r w:rsidR="00211177">
          <w:rPr>
            <w:noProof/>
            <w:webHidden/>
          </w:rPr>
          <w:tab/>
        </w:r>
        <w:r w:rsidR="00211177">
          <w:rPr>
            <w:noProof/>
            <w:webHidden/>
          </w:rPr>
          <w:fldChar w:fldCharType="begin"/>
        </w:r>
        <w:r w:rsidR="00211177">
          <w:rPr>
            <w:noProof/>
            <w:webHidden/>
          </w:rPr>
          <w:instrText xml:space="preserve"> PAGEREF _Toc512520978 \h </w:instrText>
        </w:r>
        <w:r w:rsidR="00211177">
          <w:rPr>
            <w:noProof/>
            <w:webHidden/>
          </w:rPr>
        </w:r>
        <w:r w:rsidR="00211177">
          <w:rPr>
            <w:noProof/>
            <w:webHidden/>
          </w:rPr>
          <w:fldChar w:fldCharType="separate"/>
        </w:r>
        <w:r w:rsidR="00211177">
          <w:rPr>
            <w:noProof/>
            <w:webHidden/>
          </w:rPr>
          <w:t>5</w:t>
        </w:r>
        <w:r w:rsidR="00211177">
          <w:rPr>
            <w:noProof/>
            <w:webHidden/>
          </w:rPr>
          <w:fldChar w:fldCharType="end"/>
        </w:r>
      </w:hyperlink>
    </w:p>
    <w:p w:rsidR="00211177" w:rsidRDefault="005055A3">
      <w:pPr>
        <w:pStyle w:val="Sadraj2"/>
        <w:tabs>
          <w:tab w:val="left" w:pos="1320"/>
        </w:tabs>
        <w:rPr>
          <w:rFonts w:asciiTheme="minorHAnsi" w:hAnsiTheme="minorHAnsi"/>
          <w:noProof/>
          <w:color w:val="auto"/>
          <w:lang w:val="hr-HR" w:eastAsia="hr-HR"/>
        </w:rPr>
      </w:pPr>
      <w:hyperlink w:anchor="_Toc512520979" w:history="1">
        <w:r w:rsidR="00211177" w:rsidRPr="00C55613">
          <w:rPr>
            <w:rStyle w:val="Hiperveza"/>
            <w:noProof/>
          </w:rPr>
          <w:t>3.1.</w:t>
        </w:r>
        <w:r w:rsidR="00211177">
          <w:rPr>
            <w:rFonts w:asciiTheme="minorHAnsi" w:hAnsiTheme="minorHAnsi"/>
            <w:noProof/>
            <w:color w:val="auto"/>
            <w:lang w:val="hr-HR" w:eastAsia="hr-HR"/>
          </w:rPr>
          <w:tab/>
        </w:r>
        <w:r w:rsidR="00211177" w:rsidRPr="00C55613">
          <w:rPr>
            <w:rStyle w:val="Hiperveza"/>
            <w:noProof/>
          </w:rPr>
          <w:t>Rezultati projekta</w:t>
        </w:r>
        <w:r w:rsidR="00211177">
          <w:rPr>
            <w:noProof/>
            <w:webHidden/>
          </w:rPr>
          <w:tab/>
        </w:r>
        <w:r w:rsidR="00211177">
          <w:rPr>
            <w:noProof/>
            <w:webHidden/>
          </w:rPr>
          <w:fldChar w:fldCharType="begin"/>
        </w:r>
        <w:r w:rsidR="00211177">
          <w:rPr>
            <w:noProof/>
            <w:webHidden/>
          </w:rPr>
          <w:instrText xml:space="preserve"> PAGEREF _Toc512520979 \h </w:instrText>
        </w:r>
        <w:r w:rsidR="00211177">
          <w:rPr>
            <w:noProof/>
            <w:webHidden/>
          </w:rPr>
        </w:r>
        <w:r w:rsidR="00211177">
          <w:rPr>
            <w:noProof/>
            <w:webHidden/>
          </w:rPr>
          <w:fldChar w:fldCharType="separate"/>
        </w:r>
        <w:r w:rsidR="00211177">
          <w:rPr>
            <w:noProof/>
            <w:webHidden/>
          </w:rPr>
          <w:t>5</w:t>
        </w:r>
        <w:r w:rsidR="00211177">
          <w:rPr>
            <w:noProof/>
            <w:webHidden/>
          </w:rPr>
          <w:fldChar w:fldCharType="end"/>
        </w:r>
      </w:hyperlink>
    </w:p>
    <w:p w:rsidR="00211177" w:rsidRDefault="005055A3">
      <w:pPr>
        <w:pStyle w:val="Sadraj2"/>
        <w:tabs>
          <w:tab w:val="left" w:pos="1320"/>
        </w:tabs>
        <w:rPr>
          <w:rFonts w:asciiTheme="minorHAnsi" w:hAnsiTheme="minorHAnsi"/>
          <w:noProof/>
          <w:color w:val="auto"/>
          <w:lang w:val="hr-HR" w:eastAsia="hr-HR"/>
        </w:rPr>
      </w:pPr>
      <w:hyperlink w:anchor="_Toc512520980" w:history="1">
        <w:r w:rsidR="00211177" w:rsidRPr="00C55613">
          <w:rPr>
            <w:rStyle w:val="Hiperveza"/>
            <w:noProof/>
          </w:rPr>
          <w:t>3.2.</w:t>
        </w:r>
        <w:r w:rsidR="00211177">
          <w:rPr>
            <w:rFonts w:asciiTheme="minorHAnsi" w:hAnsiTheme="minorHAnsi"/>
            <w:noProof/>
            <w:color w:val="auto"/>
            <w:lang w:val="hr-HR" w:eastAsia="hr-HR"/>
          </w:rPr>
          <w:tab/>
        </w:r>
        <w:r w:rsidR="00211177" w:rsidRPr="00C55613">
          <w:rPr>
            <w:rStyle w:val="Hiperveza"/>
            <w:noProof/>
          </w:rPr>
          <w:t>Organizacija rada</w:t>
        </w:r>
        <w:r w:rsidR="00211177">
          <w:rPr>
            <w:noProof/>
            <w:webHidden/>
          </w:rPr>
          <w:tab/>
        </w:r>
        <w:r w:rsidR="00211177">
          <w:rPr>
            <w:noProof/>
            <w:webHidden/>
          </w:rPr>
          <w:fldChar w:fldCharType="begin"/>
        </w:r>
        <w:r w:rsidR="00211177">
          <w:rPr>
            <w:noProof/>
            <w:webHidden/>
          </w:rPr>
          <w:instrText xml:space="preserve"> PAGEREF _Toc512520980 \h </w:instrText>
        </w:r>
        <w:r w:rsidR="00211177">
          <w:rPr>
            <w:noProof/>
            <w:webHidden/>
          </w:rPr>
        </w:r>
        <w:r w:rsidR="00211177">
          <w:rPr>
            <w:noProof/>
            <w:webHidden/>
          </w:rPr>
          <w:fldChar w:fldCharType="separate"/>
        </w:r>
        <w:r w:rsidR="00211177">
          <w:rPr>
            <w:noProof/>
            <w:webHidden/>
          </w:rPr>
          <w:t>5</w:t>
        </w:r>
        <w:r w:rsidR="00211177">
          <w:rPr>
            <w:noProof/>
            <w:webHidden/>
          </w:rPr>
          <w:fldChar w:fldCharType="end"/>
        </w:r>
      </w:hyperlink>
    </w:p>
    <w:p w:rsidR="00211177" w:rsidRDefault="005055A3">
      <w:pPr>
        <w:pStyle w:val="Sadraj2"/>
        <w:tabs>
          <w:tab w:val="left" w:pos="1320"/>
        </w:tabs>
        <w:rPr>
          <w:rFonts w:asciiTheme="minorHAnsi" w:hAnsiTheme="minorHAnsi"/>
          <w:noProof/>
          <w:color w:val="auto"/>
          <w:lang w:val="hr-HR" w:eastAsia="hr-HR"/>
        </w:rPr>
      </w:pPr>
      <w:hyperlink w:anchor="_Toc512520981" w:history="1">
        <w:r w:rsidR="00211177" w:rsidRPr="00C55613">
          <w:rPr>
            <w:rStyle w:val="Hiperveza"/>
            <w:noProof/>
          </w:rPr>
          <w:t>3.3.</w:t>
        </w:r>
        <w:r w:rsidR="00211177">
          <w:rPr>
            <w:rFonts w:asciiTheme="minorHAnsi" w:hAnsiTheme="minorHAnsi"/>
            <w:noProof/>
            <w:color w:val="auto"/>
            <w:lang w:val="hr-HR" w:eastAsia="hr-HR"/>
          </w:rPr>
          <w:tab/>
        </w:r>
        <w:r w:rsidR="00211177" w:rsidRPr="00C55613">
          <w:rPr>
            <w:rStyle w:val="Hiperveza"/>
            <w:noProof/>
          </w:rPr>
          <w:t>Metodologija izrade Nacrta nacionalnog računskog plana za šumarstvo, uključujući i predloženu referentnu razinu za šume za razdoblje od 2021. do 2025.</w:t>
        </w:r>
        <w:r w:rsidR="00211177">
          <w:rPr>
            <w:noProof/>
            <w:webHidden/>
          </w:rPr>
          <w:tab/>
        </w:r>
        <w:r w:rsidR="00211177">
          <w:rPr>
            <w:noProof/>
            <w:webHidden/>
          </w:rPr>
          <w:fldChar w:fldCharType="begin"/>
        </w:r>
        <w:r w:rsidR="00211177">
          <w:rPr>
            <w:noProof/>
            <w:webHidden/>
          </w:rPr>
          <w:instrText xml:space="preserve"> PAGEREF _Toc512520981 \h </w:instrText>
        </w:r>
        <w:r w:rsidR="00211177">
          <w:rPr>
            <w:noProof/>
            <w:webHidden/>
          </w:rPr>
        </w:r>
        <w:r w:rsidR="00211177">
          <w:rPr>
            <w:noProof/>
            <w:webHidden/>
          </w:rPr>
          <w:fldChar w:fldCharType="separate"/>
        </w:r>
        <w:r w:rsidR="00211177">
          <w:rPr>
            <w:noProof/>
            <w:webHidden/>
          </w:rPr>
          <w:t>5</w:t>
        </w:r>
        <w:r w:rsidR="00211177">
          <w:rPr>
            <w:noProof/>
            <w:webHidden/>
          </w:rPr>
          <w:fldChar w:fldCharType="end"/>
        </w:r>
      </w:hyperlink>
    </w:p>
    <w:p w:rsidR="00211177" w:rsidRDefault="005055A3">
      <w:pPr>
        <w:pStyle w:val="Sadraj2"/>
        <w:tabs>
          <w:tab w:val="left" w:pos="1320"/>
        </w:tabs>
        <w:rPr>
          <w:rFonts w:asciiTheme="minorHAnsi" w:hAnsiTheme="minorHAnsi"/>
          <w:noProof/>
          <w:color w:val="auto"/>
          <w:lang w:val="hr-HR" w:eastAsia="hr-HR"/>
        </w:rPr>
      </w:pPr>
      <w:hyperlink w:anchor="_Toc512520982" w:history="1">
        <w:r w:rsidR="00211177" w:rsidRPr="00C55613">
          <w:rPr>
            <w:rStyle w:val="Hiperveza"/>
            <w:noProof/>
          </w:rPr>
          <w:t>3.4.</w:t>
        </w:r>
        <w:r w:rsidR="00211177">
          <w:rPr>
            <w:rFonts w:asciiTheme="minorHAnsi" w:hAnsiTheme="minorHAnsi"/>
            <w:noProof/>
            <w:color w:val="auto"/>
            <w:lang w:val="hr-HR" w:eastAsia="hr-HR"/>
          </w:rPr>
          <w:tab/>
        </w:r>
        <w:r w:rsidR="00211177" w:rsidRPr="00C55613">
          <w:rPr>
            <w:rStyle w:val="Hiperveza"/>
            <w:noProof/>
          </w:rPr>
          <w:t>Projektne aktivnosti i rezultati</w:t>
        </w:r>
        <w:r w:rsidR="00211177">
          <w:rPr>
            <w:noProof/>
            <w:webHidden/>
          </w:rPr>
          <w:tab/>
        </w:r>
        <w:r w:rsidR="00211177">
          <w:rPr>
            <w:noProof/>
            <w:webHidden/>
          </w:rPr>
          <w:fldChar w:fldCharType="begin"/>
        </w:r>
        <w:r w:rsidR="00211177">
          <w:rPr>
            <w:noProof/>
            <w:webHidden/>
          </w:rPr>
          <w:instrText xml:space="preserve"> PAGEREF _Toc512520982 \h </w:instrText>
        </w:r>
        <w:r w:rsidR="00211177">
          <w:rPr>
            <w:noProof/>
            <w:webHidden/>
          </w:rPr>
        </w:r>
        <w:r w:rsidR="00211177">
          <w:rPr>
            <w:noProof/>
            <w:webHidden/>
          </w:rPr>
          <w:fldChar w:fldCharType="separate"/>
        </w:r>
        <w:r w:rsidR="00211177">
          <w:rPr>
            <w:noProof/>
            <w:webHidden/>
          </w:rPr>
          <w:t>8</w:t>
        </w:r>
        <w:r w:rsidR="00211177">
          <w:rPr>
            <w:noProof/>
            <w:webHidden/>
          </w:rPr>
          <w:fldChar w:fldCharType="end"/>
        </w:r>
      </w:hyperlink>
    </w:p>
    <w:p w:rsidR="00211177" w:rsidRDefault="005055A3">
      <w:pPr>
        <w:pStyle w:val="Sadraj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hr-HR"/>
        </w:rPr>
      </w:pPr>
      <w:hyperlink w:anchor="_Toc512520983" w:history="1">
        <w:r w:rsidR="00211177" w:rsidRPr="00C55613">
          <w:rPr>
            <w:rStyle w:val="Hiperveza"/>
            <w:noProof/>
          </w:rPr>
          <w:t>4.</w:t>
        </w:r>
        <w:r w:rsidR="0021117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hr-HR"/>
          </w:rPr>
          <w:tab/>
        </w:r>
        <w:r w:rsidR="00211177" w:rsidRPr="00C55613">
          <w:rPr>
            <w:rStyle w:val="Hiperveza"/>
            <w:noProof/>
          </w:rPr>
          <w:t>Rokovi i plaćanje</w:t>
        </w:r>
        <w:r w:rsidR="00211177">
          <w:rPr>
            <w:noProof/>
            <w:webHidden/>
          </w:rPr>
          <w:tab/>
        </w:r>
        <w:r w:rsidR="00211177">
          <w:rPr>
            <w:noProof/>
            <w:webHidden/>
          </w:rPr>
          <w:fldChar w:fldCharType="begin"/>
        </w:r>
        <w:r w:rsidR="00211177">
          <w:rPr>
            <w:noProof/>
            <w:webHidden/>
          </w:rPr>
          <w:instrText xml:space="preserve"> PAGEREF _Toc512520983 \h </w:instrText>
        </w:r>
        <w:r w:rsidR="00211177">
          <w:rPr>
            <w:noProof/>
            <w:webHidden/>
          </w:rPr>
        </w:r>
        <w:r w:rsidR="00211177">
          <w:rPr>
            <w:noProof/>
            <w:webHidden/>
          </w:rPr>
          <w:fldChar w:fldCharType="separate"/>
        </w:r>
        <w:r w:rsidR="00211177">
          <w:rPr>
            <w:noProof/>
            <w:webHidden/>
          </w:rPr>
          <w:t>10</w:t>
        </w:r>
        <w:r w:rsidR="00211177">
          <w:rPr>
            <w:noProof/>
            <w:webHidden/>
          </w:rPr>
          <w:fldChar w:fldCharType="end"/>
        </w:r>
      </w:hyperlink>
    </w:p>
    <w:p w:rsidR="00391FF5" w:rsidRPr="002E3953" w:rsidRDefault="00C87632" w:rsidP="0043592E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fldChar w:fldCharType="end"/>
      </w:r>
    </w:p>
    <w:p w:rsidR="005D367A" w:rsidRPr="002E3953" w:rsidRDefault="00E90EB8" w:rsidP="003619D6">
      <w:pPr>
        <w:pStyle w:val="Naslov2"/>
        <w:rPr>
          <w:rFonts w:ascii="Arial" w:hAnsi="Arial" w:cs="Arial"/>
          <w:color w:val="auto"/>
        </w:rPr>
      </w:pPr>
      <w:r w:rsidRPr="002E3953">
        <w:rPr>
          <w:rFonts w:ascii="Arial" w:hAnsi="Arial" w:cs="Arial"/>
          <w:color w:val="auto"/>
        </w:rPr>
        <w:br w:type="page"/>
      </w:r>
    </w:p>
    <w:p w:rsidR="001816FC" w:rsidRPr="002E3953" w:rsidRDefault="00CA0F2C" w:rsidP="0043592E">
      <w:pPr>
        <w:pStyle w:val="Naslov1"/>
        <w:tabs>
          <w:tab w:val="left" w:pos="567"/>
        </w:tabs>
        <w:spacing w:before="0" w:after="0"/>
        <w:rPr>
          <w:rFonts w:cs="Times New Roman"/>
          <w:color w:val="auto"/>
          <w:sz w:val="24"/>
          <w:szCs w:val="24"/>
        </w:rPr>
      </w:pPr>
      <w:bookmarkStart w:id="0" w:name="_Toc512519990"/>
      <w:bookmarkStart w:id="1" w:name="_Toc512520598"/>
      <w:bookmarkStart w:id="2" w:name="_Toc512520835"/>
      <w:bookmarkStart w:id="3" w:name="_Toc512520976"/>
      <w:r w:rsidRPr="002E3953">
        <w:rPr>
          <w:rFonts w:cs="Times New Roman"/>
          <w:color w:val="auto"/>
          <w:sz w:val="24"/>
          <w:szCs w:val="24"/>
        </w:rPr>
        <w:lastRenderedPageBreak/>
        <w:t>1.</w:t>
      </w:r>
      <w:r w:rsidRPr="002E3953">
        <w:rPr>
          <w:rFonts w:cs="Times New Roman"/>
          <w:color w:val="auto"/>
          <w:sz w:val="24"/>
          <w:szCs w:val="24"/>
        </w:rPr>
        <w:tab/>
      </w:r>
      <w:r w:rsidR="001635C7" w:rsidRPr="002E3953">
        <w:rPr>
          <w:rFonts w:cs="Times New Roman"/>
          <w:color w:val="auto"/>
          <w:sz w:val="24"/>
          <w:szCs w:val="24"/>
        </w:rPr>
        <w:t>Uvodne odredbe projektnog zadatka</w:t>
      </w:r>
      <w:bookmarkEnd w:id="0"/>
      <w:bookmarkEnd w:id="1"/>
      <w:bookmarkEnd w:id="2"/>
      <w:bookmarkEnd w:id="3"/>
      <w:r w:rsidR="001635C7" w:rsidRPr="002E3953">
        <w:rPr>
          <w:rFonts w:cs="Times New Roman"/>
          <w:color w:val="auto"/>
          <w:sz w:val="24"/>
          <w:szCs w:val="24"/>
        </w:rPr>
        <w:t xml:space="preserve"> </w:t>
      </w:r>
    </w:p>
    <w:p w:rsidR="001816FC" w:rsidRPr="002E3953" w:rsidRDefault="001816FC" w:rsidP="0043592E">
      <w:pPr>
        <w:rPr>
          <w:color w:val="auto"/>
        </w:rPr>
      </w:pPr>
    </w:p>
    <w:p w:rsidR="001635C7" w:rsidRPr="002E3953" w:rsidRDefault="001635C7" w:rsidP="0043592E">
      <w:pPr>
        <w:rPr>
          <w:color w:val="auto"/>
        </w:rPr>
      </w:pPr>
      <w:r w:rsidRPr="002E3953">
        <w:rPr>
          <w:color w:val="auto"/>
        </w:rPr>
        <w:t>Naslov projektnog zadatka</w:t>
      </w:r>
      <w:r w:rsidR="00B56807" w:rsidRPr="002E3953">
        <w:rPr>
          <w:color w:val="auto"/>
        </w:rPr>
        <w:t>:</w:t>
      </w:r>
    </w:p>
    <w:p w:rsidR="00B56807" w:rsidRPr="002E3953" w:rsidRDefault="00B56807" w:rsidP="0043592E">
      <w:pPr>
        <w:rPr>
          <w:color w:val="auto"/>
        </w:rPr>
      </w:pPr>
    </w:p>
    <w:p w:rsidR="001635C7" w:rsidRPr="002E3953" w:rsidRDefault="009412CD" w:rsidP="0043592E">
      <w:pPr>
        <w:rPr>
          <w:b/>
          <w:color w:val="auto"/>
        </w:rPr>
      </w:pPr>
      <w:r w:rsidRPr="002E3953">
        <w:rPr>
          <w:b/>
          <w:color w:val="auto"/>
        </w:rPr>
        <w:t>Izrada Nacrta</w:t>
      </w:r>
      <w:r w:rsidR="00A76D7F" w:rsidRPr="002E3953">
        <w:rPr>
          <w:b/>
          <w:color w:val="auto"/>
        </w:rPr>
        <w:t xml:space="preserve"> </w:t>
      </w:r>
      <w:r w:rsidR="0067233A" w:rsidRPr="002E3953">
        <w:rPr>
          <w:b/>
          <w:color w:val="auto"/>
        </w:rPr>
        <w:t>nacionalnog računskog plana za šumarstvo, uključujući i predloženu referentnu razinu za šume</w:t>
      </w:r>
      <w:r w:rsidR="0067233A" w:rsidRPr="002E3953">
        <w:rPr>
          <w:color w:val="auto"/>
        </w:rPr>
        <w:t xml:space="preserve"> </w:t>
      </w:r>
      <w:r w:rsidR="0067233A" w:rsidRPr="002E3953">
        <w:rPr>
          <w:b/>
          <w:color w:val="auto"/>
        </w:rPr>
        <w:t>za razdoblje od 2021. do 2025.</w:t>
      </w:r>
    </w:p>
    <w:p w:rsidR="001635C7" w:rsidRPr="002E3953" w:rsidRDefault="001635C7" w:rsidP="0043592E">
      <w:pPr>
        <w:rPr>
          <w:color w:val="auto"/>
        </w:rPr>
      </w:pPr>
    </w:p>
    <w:p w:rsidR="00164EB4" w:rsidRPr="002E3953" w:rsidRDefault="00164EB4" w:rsidP="0043592E">
      <w:pPr>
        <w:rPr>
          <w:color w:val="auto"/>
        </w:rPr>
      </w:pPr>
      <w:r w:rsidRPr="002E3953">
        <w:rPr>
          <w:color w:val="auto"/>
        </w:rPr>
        <w:t xml:space="preserve">Europsko Vijeće </w:t>
      </w:r>
      <w:r w:rsidR="0067233A" w:rsidRPr="002E3953">
        <w:rPr>
          <w:color w:val="auto"/>
        </w:rPr>
        <w:t>usvojilo j</w:t>
      </w:r>
      <w:r w:rsidRPr="002E3953">
        <w:rPr>
          <w:color w:val="auto"/>
        </w:rPr>
        <w:t xml:space="preserve">e 24. listopada 2014. </w:t>
      </w:r>
      <w:r w:rsidR="0067233A" w:rsidRPr="002E3953">
        <w:rPr>
          <w:color w:val="auto"/>
        </w:rPr>
        <w:t>Okvir</w:t>
      </w:r>
      <w:r w:rsidRPr="002E3953">
        <w:rPr>
          <w:color w:val="auto"/>
        </w:rPr>
        <w:t xml:space="preserve"> za klimatsku i energetsku politiku Unije do 2030. </w:t>
      </w:r>
      <w:r w:rsidR="0067233A" w:rsidRPr="002E3953">
        <w:rPr>
          <w:color w:val="auto"/>
        </w:rPr>
        <w:t>utvrđujući cilj smanjenja emisija stakleničkih plinova na razini EU-a za najmanje 40%.</w:t>
      </w:r>
      <w:r w:rsidRPr="002E3953">
        <w:rPr>
          <w:color w:val="auto"/>
        </w:rPr>
        <w:t xml:space="preserve"> </w:t>
      </w:r>
    </w:p>
    <w:p w:rsidR="000C5ECB" w:rsidRPr="002E3953" w:rsidRDefault="000C5ECB" w:rsidP="0043592E">
      <w:pPr>
        <w:rPr>
          <w:color w:val="auto"/>
        </w:rPr>
      </w:pPr>
    </w:p>
    <w:p w:rsidR="00145734" w:rsidRPr="002E3953" w:rsidRDefault="00164EB4" w:rsidP="0043592E">
      <w:pPr>
        <w:rPr>
          <w:color w:val="auto"/>
        </w:rPr>
      </w:pPr>
      <w:r w:rsidRPr="002E3953">
        <w:rPr>
          <w:color w:val="auto"/>
        </w:rPr>
        <w:t>Obvezujući cilj smanjenja nacionalnih emisija stakleničkih plinova u cijelo</w:t>
      </w:r>
      <w:r w:rsidR="0078145E" w:rsidRPr="002E3953">
        <w:rPr>
          <w:color w:val="auto"/>
        </w:rPr>
        <w:t>m gospodarstvu za najmanje 40</w:t>
      </w:r>
      <w:r w:rsidRPr="002E3953">
        <w:rPr>
          <w:color w:val="auto"/>
        </w:rPr>
        <w:t xml:space="preserve">% do 2030. u odnosu na 1990. službeno je odobren kao planirani nacionalni doprinos Unije i njezinih država članica Pariškom sporazumu na sastanku Vijeća za okoliš od 6. ožujka 2015. </w:t>
      </w:r>
      <w:r w:rsidR="00145734" w:rsidRPr="002E3953">
        <w:rPr>
          <w:color w:val="auto"/>
        </w:rPr>
        <w:t>Pariški sporazum stupio je na snagu 4. studenoga 2016. Unija bi u skladu s Pariškim sporazumom trebala nastaviti smanjivati svoje emisije stakleničkih plinova i povećati uklanjanja.</w:t>
      </w:r>
    </w:p>
    <w:p w:rsidR="00145734" w:rsidRPr="002E3953" w:rsidRDefault="00145734" w:rsidP="0043592E">
      <w:pPr>
        <w:rPr>
          <w:color w:val="auto"/>
        </w:rPr>
      </w:pPr>
    </w:p>
    <w:p w:rsidR="00145734" w:rsidRPr="002E3953" w:rsidRDefault="00145734" w:rsidP="00145734">
      <w:pPr>
        <w:rPr>
          <w:color w:val="auto"/>
        </w:rPr>
      </w:pPr>
      <w:r w:rsidRPr="002E3953">
        <w:rPr>
          <w:color w:val="auto"/>
        </w:rPr>
        <w:t>Pariškim se sporazumom, među ostalim, utvrđuje dugoročni cilj u skladu s nastojanjima da se porast globalne temperature ograniči na znatno manje od 2 °C iznad razine u predindustrijskom razdoblju te da ga se zadrži na 1,5 °C iznad razine u predindustrijskom razdoblju. Šume, poljoprivredna zemljišta i močvarna zemljišta odigrat će središnju ulogu u postizanju tog cilja.</w:t>
      </w:r>
    </w:p>
    <w:p w:rsidR="00145734" w:rsidRPr="002E3953" w:rsidRDefault="00145734" w:rsidP="00145734">
      <w:pPr>
        <w:rPr>
          <w:color w:val="auto"/>
        </w:rPr>
      </w:pPr>
    </w:p>
    <w:p w:rsidR="00145734" w:rsidRPr="002E3953" w:rsidRDefault="00145734" w:rsidP="00145734">
      <w:pPr>
        <w:rPr>
          <w:color w:val="auto"/>
        </w:rPr>
      </w:pPr>
      <w:r w:rsidRPr="002E3953">
        <w:rPr>
          <w:color w:val="auto"/>
        </w:rPr>
        <w:t>Pariškim sporazumom također se želi uspostaviti ravnoteža između antropogenih emisija iz izvora i uklanjanja stakleničkih plinova ponorima u drugoj polovici ovog stoljeća, a stranke se pozivaju da poduzmu mjere za očuvanje i poboljšanje, prema potrebi, ponora i spremnika stakleničkih plinova, uključujući šume.</w:t>
      </w:r>
    </w:p>
    <w:p w:rsidR="00145734" w:rsidRPr="002E3953" w:rsidRDefault="00145734" w:rsidP="0043592E">
      <w:pPr>
        <w:rPr>
          <w:color w:val="auto"/>
        </w:rPr>
      </w:pPr>
    </w:p>
    <w:p w:rsidR="00BB645F" w:rsidRPr="002E3953" w:rsidRDefault="007F7A9C" w:rsidP="0043592E">
      <w:pPr>
        <w:rPr>
          <w:color w:val="auto"/>
        </w:rPr>
      </w:pPr>
      <w:r w:rsidRPr="002E3953">
        <w:rPr>
          <w:color w:val="auto"/>
        </w:rPr>
        <w:t>Da bi se postiglo obvezujuće smanjenje</w:t>
      </w:r>
      <w:r w:rsidR="00164EB4" w:rsidRPr="002E3953">
        <w:rPr>
          <w:color w:val="auto"/>
        </w:rPr>
        <w:t xml:space="preserve"> emisija stak</w:t>
      </w:r>
      <w:r w:rsidR="0078145E" w:rsidRPr="002E3953">
        <w:rPr>
          <w:color w:val="auto"/>
        </w:rPr>
        <w:t>leničkih plinova za najmanje 40</w:t>
      </w:r>
      <w:r w:rsidR="00164EB4" w:rsidRPr="002E3953">
        <w:rPr>
          <w:color w:val="auto"/>
        </w:rPr>
        <w:t>% do 2030. u usporedbi s 1990. godinom</w:t>
      </w:r>
      <w:r w:rsidRPr="002E3953">
        <w:rPr>
          <w:color w:val="auto"/>
        </w:rPr>
        <w:t>,</w:t>
      </w:r>
      <w:r w:rsidR="00164EB4" w:rsidRPr="002E3953">
        <w:rPr>
          <w:color w:val="auto"/>
        </w:rPr>
        <w:t xml:space="preserve"> </w:t>
      </w:r>
      <w:r w:rsidR="00ED7593" w:rsidRPr="002E3953">
        <w:rPr>
          <w:color w:val="auto"/>
        </w:rPr>
        <w:t>u</w:t>
      </w:r>
      <w:r w:rsidR="00164EB4" w:rsidRPr="002E3953">
        <w:rPr>
          <w:color w:val="auto"/>
        </w:rPr>
        <w:t xml:space="preserve"> okviru sustava EU-a za trgovanje emisijskim jedinicama (u daljn</w:t>
      </w:r>
      <w:r w:rsidRPr="002E3953">
        <w:rPr>
          <w:color w:val="auto"/>
        </w:rPr>
        <w:t>jem tekstu: ETS) postavljen je o</w:t>
      </w:r>
      <w:r w:rsidR="00164EB4" w:rsidRPr="002E3953">
        <w:rPr>
          <w:color w:val="auto"/>
        </w:rPr>
        <w:t>dgovaraju</w:t>
      </w:r>
      <w:r w:rsidR="0078145E" w:rsidRPr="002E3953">
        <w:rPr>
          <w:color w:val="auto"/>
        </w:rPr>
        <w:t>ći cilj smanjenja emisija za 43</w:t>
      </w:r>
      <w:r w:rsidR="00164EB4" w:rsidRPr="002E3953">
        <w:rPr>
          <w:color w:val="auto"/>
        </w:rPr>
        <w:t>% u usporedbi s 2005. godinom</w:t>
      </w:r>
      <w:r w:rsidRPr="002E3953">
        <w:rPr>
          <w:color w:val="auto"/>
        </w:rPr>
        <w:t>,</w:t>
      </w:r>
      <w:r w:rsidR="00164EB4" w:rsidRPr="002E3953">
        <w:rPr>
          <w:color w:val="auto"/>
        </w:rPr>
        <w:t xml:space="preserve"> dok je cilj smanjenja em</w:t>
      </w:r>
      <w:r w:rsidR="0078145E" w:rsidRPr="002E3953">
        <w:rPr>
          <w:color w:val="auto"/>
        </w:rPr>
        <w:t>isija za sektore izvan ETS-a 30</w:t>
      </w:r>
      <w:r w:rsidR="00164EB4" w:rsidRPr="002E3953">
        <w:rPr>
          <w:color w:val="auto"/>
        </w:rPr>
        <w:t>% u odnosu na 2005. godinu.</w:t>
      </w:r>
      <w:r w:rsidR="00ED7593" w:rsidRPr="002E3953">
        <w:rPr>
          <w:color w:val="auto"/>
        </w:rPr>
        <w:t xml:space="preserve"> </w:t>
      </w:r>
      <w:r w:rsidR="00CD2731" w:rsidRPr="002E3953">
        <w:rPr>
          <w:color w:val="auto"/>
        </w:rPr>
        <w:t>U postizanje cilja smanjenja emisija za 30% u sektorima izvan ETS-a, uključen je i sektor korištenja zemljišta, prenamjene zemljišta i šumarstvo, (</w:t>
      </w:r>
      <w:r w:rsidR="00CD2731" w:rsidRPr="002E3953">
        <w:rPr>
          <w:color w:val="auto"/>
          <w:lang w:val="en-GB"/>
        </w:rPr>
        <w:t>eng. land use, land use change and forestry</w:t>
      </w:r>
      <w:r w:rsidR="00CD2731" w:rsidRPr="002E3953">
        <w:rPr>
          <w:color w:val="auto"/>
        </w:rPr>
        <w:t xml:space="preserve">, </w:t>
      </w:r>
      <w:r w:rsidR="00ED7593" w:rsidRPr="002E3953">
        <w:rPr>
          <w:color w:val="auto"/>
        </w:rPr>
        <w:t>LULUCF</w:t>
      </w:r>
      <w:r w:rsidR="00CD2731" w:rsidRPr="002E3953">
        <w:rPr>
          <w:color w:val="auto"/>
        </w:rPr>
        <w:t>).</w:t>
      </w:r>
    </w:p>
    <w:p w:rsidR="00784EA7" w:rsidRPr="002E3953" w:rsidRDefault="00784EA7" w:rsidP="00784EA7">
      <w:pPr>
        <w:rPr>
          <w:color w:val="auto"/>
        </w:rPr>
      </w:pPr>
      <w:bookmarkStart w:id="4" w:name="OLE_LINK3"/>
      <w:bookmarkStart w:id="5" w:name="OLE_LINK4"/>
    </w:p>
    <w:p w:rsidR="00784EA7" w:rsidRPr="002E3953" w:rsidRDefault="00784EA7" w:rsidP="00784EA7">
      <w:pPr>
        <w:rPr>
          <w:color w:val="auto"/>
        </w:rPr>
      </w:pPr>
      <w:r w:rsidRPr="002E3953">
        <w:rPr>
          <w:color w:val="auto"/>
        </w:rPr>
        <w:t xml:space="preserve">Odlukom br. 529/2013/EU utvrđena su pravila za obračun </w:t>
      </w:r>
      <w:r w:rsidR="003B5237" w:rsidRPr="002E3953">
        <w:rPr>
          <w:color w:val="auto"/>
        </w:rPr>
        <w:t>emisija</w:t>
      </w:r>
      <w:r w:rsidRPr="002E3953">
        <w:rPr>
          <w:color w:val="auto"/>
        </w:rPr>
        <w:t xml:space="preserve"> i</w:t>
      </w:r>
      <w:r w:rsidR="006D311B" w:rsidRPr="002E3953">
        <w:rPr>
          <w:color w:val="auto"/>
        </w:rPr>
        <w:t xml:space="preserve"> uklanjanja iz sektora LULUCF.</w:t>
      </w:r>
    </w:p>
    <w:p w:rsidR="005A373D" w:rsidRPr="002E3953" w:rsidRDefault="005A373D" w:rsidP="0043592E">
      <w:pPr>
        <w:rPr>
          <w:color w:val="auto"/>
        </w:rPr>
      </w:pPr>
    </w:p>
    <w:bookmarkEnd w:id="4"/>
    <w:bookmarkEnd w:id="5"/>
    <w:p w:rsidR="00784EA7" w:rsidRPr="002E3953" w:rsidRDefault="00784EA7" w:rsidP="0043592E">
      <w:pPr>
        <w:rPr>
          <w:color w:val="auto"/>
        </w:rPr>
      </w:pPr>
      <w:r w:rsidRPr="002E3953">
        <w:rPr>
          <w:color w:val="auto"/>
        </w:rPr>
        <w:t>S ciljem adekvatnog uključivanja sektora LULUCF u okvir ublažavanja učinka stakleničkih plinova u srpnju 2016. godine da</w:t>
      </w:r>
      <w:r w:rsidR="003B5237" w:rsidRPr="002E3953">
        <w:rPr>
          <w:color w:val="auto"/>
        </w:rPr>
        <w:t>n je</w:t>
      </w:r>
      <w:r w:rsidRPr="002E3953">
        <w:rPr>
          <w:color w:val="auto"/>
        </w:rPr>
        <w:t xml:space="preserve"> Prijedlog uredbe Europskog parlamenta i Vijeća o uključivanju emisija i uklanjanja stakleničkih plinova iz korištenja zemljišta, prenamjene korištenja zemljišta i šumarstva u okvir za klimatsku i energetsku politiku do 2030. te o izmjeni Uredbe br. 525/2013 Europskog parlamenta i Vijeća o mehanizmu za praćenje i izvješćivanje o emisijama stakleničkih plinova i za izvješćivanje o drugim informacijama u vezi s klimatskim promjenama (dalje u tekstu: Prijedlog Uredbe LULUCF). Prijedlog Uredbe LULUCF je usuglašen u trijalogu između Europske komisije, Vijeća i Parlamenta te bi sredinom lipnja 2018. godine trebala stupiti na snagu.</w:t>
      </w:r>
    </w:p>
    <w:p w:rsidR="00784EA7" w:rsidRPr="002E3953" w:rsidRDefault="00784EA7" w:rsidP="0043592E">
      <w:pPr>
        <w:rPr>
          <w:color w:val="auto"/>
        </w:rPr>
      </w:pPr>
    </w:p>
    <w:p w:rsidR="00ED7593" w:rsidRPr="002E3953" w:rsidRDefault="00784EA7" w:rsidP="0043592E">
      <w:pPr>
        <w:rPr>
          <w:color w:val="auto"/>
        </w:rPr>
      </w:pPr>
      <w:r w:rsidRPr="002E3953">
        <w:rPr>
          <w:color w:val="auto"/>
        </w:rPr>
        <w:t>Prijedlogom Uredbe LULUCF se utvrđuju obveze država članica u pogledu provedbe pravila obračun</w:t>
      </w:r>
      <w:r w:rsidR="00263810" w:rsidRPr="002E3953">
        <w:rPr>
          <w:color w:val="auto"/>
        </w:rPr>
        <w:t>a i izvješćivanja</w:t>
      </w:r>
      <w:r w:rsidRPr="002E3953">
        <w:rPr>
          <w:color w:val="auto"/>
        </w:rPr>
        <w:t xml:space="preserve"> te </w:t>
      </w:r>
      <w:r w:rsidR="00263810" w:rsidRPr="002E3953">
        <w:rPr>
          <w:color w:val="auto"/>
        </w:rPr>
        <w:t>se</w:t>
      </w:r>
      <w:r w:rsidRPr="002E3953">
        <w:rPr>
          <w:color w:val="auto"/>
        </w:rPr>
        <w:t xml:space="preserve"> zahtijeva da osiguraju da cjelokupni sektor LULUCF ne proizvodi neto emisije i da doprinosi cil</w:t>
      </w:r>
      <w:r w:rsidR="00263810" w:rsidRPr="002E3953">
        <w:rPr>
          <w:color w:val="auto"/>
        </w:rPr>
        <w:t>ju dugoročnog poboljšanja ponora</w:t>
      </w:r>
      <w:r w:rsidRPr="002E3953">
        <w:rPr>
          <w:color w:val="auto"/>
        </w:rPr>
        <w:t>.</w:t>
      </w:r>
    </w:p>
    <w:p w:rsidR="00263810" w:rsidRPr="002E3953" w:rsidRDefault="00263810" w:rsidP="0043592E">
      <w:pPr>
        <w:rPr>
          <w:color w:val="auto"/>
        </w:rPr>
      </w:pPr>
    </w:p>
    <w:p w:rsidR="0095596C" w:rsidRPr="002E3953" w:rsidRDefault="00593F2B" w:rsidP="00263810">
      <w:pPr>
        <w:rPr>
          <w:color w:val="auto"/>
        </w:rPr>
      </w:pPr>
      <w:r w:rsidRPr="002E3953">
        <w:rPr>
          <w:color w:val="auto"/>
        </w:rPr>
        <w:t xml:space="preserve">Kako bi se dobili točni izračuni emisija i uklanjanja </w:t>
      </w:r>
      <w:r w:rsidR="00263810" w:rsidRPr="002E3953">
        <w:rPr>
          <w:color w:val="auto"/>
        </w:rPr>
        <w:t>primjenjuju se</w:t>
      </w:r>
      <w:r w:rsidR="003B5237" w:rsidRPr="002E3953">
        <w:rPr>
          <w:color w:val="auto"/>
        </w:rPr>
        <w:t xml:space="preserve"> i</w:t>
      </w:r>
      <w:r w:rsidR="00263810" w:rsidRPr="002E3953">
        <w:rPr>
          <w:color w:val="auto"/>
        </w:rPr>
        <w:t xml:space="preserve"> smjernice Međuvladinog panela o promjeni klime</w:t>
      </w:r>
      <w:r w:rsidRPr="002E3953">
        <w:rPr>
          <w:color w:val="auto"/>
        </w:rPr>
        <w:t xml:space="preserve"> </w:t>
      </w:r>
      <w:r w:rsidR="00263810" w:rsidRPr="002E3953">
        <w:rPr>
          <w:color w:val="auto"/>
        </w:rPr>
        <w:t xml:space="preserve">(IPCC) te </w:t>
      </w:r>
      <w:r w:rsidRPr="002E3953">
        <w:rPr>
          <w:color w:val="auto"/>
        </w:rPr>
        <w:t>Uredb</w:t>
      </w:r>
      <w:r w:rsidR="00263810" w:rsidRPr="002E3953">
        <w:rPr>
          <w:color w:val="auto"/>
        </w:rPr>
        <w:t>a</w:t>
      </w:r>
      <w:r w:rsidRPr="002E3953">
        <w:rPr>
          <w:color w:val="auto"/>
        </w:rPr>
        <w:t xml:space="preserve"> (EU) br. 525/2013 za kategorije korištenja zemljišta i prenamjenu kategorija zemljišta</w:t>
      </w:r>
      <w:r w:rsidR="00263810" w:rsidRPr="002E3953">
        <w:rPr>
          <w:color w:val="auto"/>
        </w:rPr>
        <w:t>.</w:t>
      </w:r>
    </w:p>
    <w:p w:rsidR="00263810" w:rsidRPr="002E3953" w:rsidRDefault="00263810" w:rsidP="00263810">
      <w:pPr>
        <w:rPr>
          <w:color w:val="auto"/>
        </w:rPr>
      </w:pPr>
    </w:p>
    <w:p w:rsidR="00BB645F" w:rsidRPr="002E3953" w:rsidRDefault="00CA0F2C" w:rsidP="0043592E">
      <w:pPr>
        <w:pStyle w:val="Naslov1"/>
        <w:tabs>
          <w:tab w:val="left" w:pos="567"/>
        </w:tabs>
        <w:spacing w:before="0" w:after="0"/>
        <w:ind w:left="567" w:hanging="567"/>
        <w:rPr>
          <w:rFonts w:cs="Times New Roman"/>
          <w:color w:val="auto"/>
          <w:sz w:val="24"/>
          <w:szCs w:val="24"/>
        </w:rPr>
      </w:pPr>
      <w:bookmarkStart w:id="6" w:name="_Toc512519991"/>
      <w:bookmarkStart w:id="7" w:name="_Toc512520599"/>
      <w:bookmarkStart w:id="8" w:name="_Toc512520836"/>
      <w:bookmarkStart w:id="9" w:name="_Toc512520977"/>
      <w:r w:rsidRPr="002E3953">
        <w:rPr>
          <w:rFonts w:cs="Times New Roman"/>
          <w:color w:val="auto"/>
          <w:sz w:val="24"/>
          <w:szCs w:val="24"/>
        </w:rPr>
        <w:lastRenderedPageBreak/>
        <w:t>2.</w:t>
      </w:r>
      <w:r w:rsidRPr="002E3953">
        <w:rPr>
          <w:rFonts w:cs="Times New Roman"/>
          <w:color w:val="auto"/>
          <w:sz w:val="24"/>
          <w:szCs w:val="24"/>
        </w:rPr>
        <w:tab/>
      </w:r>
      <w:r w:rsidR="001635C7" w:rsidRPr="002E3953">
        <w:rPr>
          <w:rFonts w:cs="Times New Roman"/>
          <w:color w:val="auto"/>
          <w:sz w:val="24"/>
          <w:szCs w:val="24"/>
        </w:rPr>
        <w:t>Cilj</w:t>
      </w:r>
      <w:r w:rsidR="00B56807" w:rsidRPr="002E3953">
        <w:rPr>
          <w:rFonts w:cs="Times New Roman"/>
          <w:color w:val="auto"/>
          <w:sz w:val="24"/>
          <w:szCs w:val="24"/>
        </w:rPr>
        <w:t xml:space="preserve"> izrade</w:t>
      </w:r>
      <w:r w:rsidR="001635C7" w:rsidRPr="002E3953">
        <w:rPr>
          <w:rFonts w:cs="Times New Roman"/>
          <w:color w:val="auto"/>
          <w:sz w:val="24"/>
          <w:szCs w:val="24"/>
        </w:rPr>
        <w:t xml:space="preserve"> </w:t>
      </w:r>
      <w:r w:rsidR="00263810" w:rsidRPr="002E3953">
        <w:rPr>
          <w:rFonts w:cs="Times New Roman"/>
          <w:color w:val="auto"/>
          <w:sz w:val="24"/>
          <w:szCs w:val="24"/>
        </w:rPr>
        <w:t>Nacrta nacionalnog računskog plana za šumarstvo, uključujući i predloženu referentnu razinu za šume za razdoblje od 2021. do 2025.</w:t>
      </w:r>
      <w:bookmarkEnd w:id="6"/>
      <w:bookmarkEnd w:id="7"/>
      <w:bookmarkEnd w:id="8"/>
      <w:bookmarkEnd w:id="9"/>
    </w:p>
    <w:p w:rsidR="00F123A6" w:rsidRPr="002E3953" w:rsidRDefault="00F123A6" w:rsidP="00F123A6">
      <w:pPr>
        <w:rPr>
          <w:color w:val="auto"/>
        </w:rPr>
      </w:pPr>
    </w:p>
    <w:p w:rsidR="00F123A6" w:rsidRPr="002E3953" w:rsidRDefault="00F123A6" w:rsidP="00F123A6">
      <w:pPr>
        <w:rPr>
          <w:color w:val="auto"/>
        </w:rPr>
      </w:pPr>
      <w:r w:rsidRPr="002E3953">
        <w:rPr>
          <w:color w:val="auto"/>
        </w:rPr>
        <w:t>Države članice podnose Komisiji nacionalne računske planove za šumarstvo, uključujući i predložene referentne razine za šume</w:t>
      </w:r>
      <w:r w:rsidR="003B5237" w:rsidRPr="002E3953">
        <w:rPr>
          <w:color w:val="auto"/>
        </w:rPr>
        <w:t xml:space="preserve"> (dalje u tekstu: Nacionalni računski plan za šumarstvo).</w:t>
      </w:r>
      <w:r w:rsidRPr="002E3953">
        <w:rPr>
          <w:color w:val="auto"/>
        </w:rPr>
        <w:t xml:space="preserve"> Države članice Komisiji podnose svoje </w:t>
      </w:r>
      <w:r w:rsidR="003B5237" w:rsidRPr="002E3953">
        <w:rPr>
          <w:color w:val="auto"/>
        </w:rPr>
        <w:t xml:space="preserve">Nacionalne računske planove za šumarstvo </w:t>
      </w:r>
      <w:r w:rsidRPr="002E3953">
        <w:rPr>
          <w:color w:val="auto"/>
        </w:rPr>
        <w:t>do 31. prosinca 2018. za razdoblje od 2021. do 2025.</w:t>
      </w:r>
    </w:p>
    <w:p w:rsidR="00D36DA4" w:rsidRPr="002E3953" w:rsidRDefault="00D36DA4" w:rsidP="00D36DA4">
      <w:pPr>
        <w:rPr>
          <w:color w:val="auto"/>
        </w:rPr>
      </w:pPr>
    </w:p>
    <w:p w:rsidR="00D36DA4" w:rsidRPr="002E3953" w:rsidRDefault="00D36DA4" w:rsidP="00D36DA4">
      <w:pPr>
        <w:rPr>
          <w:color w:val="auto"/>
        </w:rPr>
      </w:pPr>
      <w:r w:rsidRPr="002E3953">
        <w:rPr>
          <w:color w:val="auto"/>
        </w:rPr>
        <w:t xml:space="preserve">Emisije i uklanjanja iz šumskog zemljišta ovise o nizu prirodnih okolnosti, kao i o prošlim i sadašnjim praksama gospodarenja koje se znatno razlikuju među državama članicama. Stoga se za obračun emisija/uklanjanja utvrđuje referentna razina za šume, koja se temelji na nastavku prakse održivog gospodarenja šumama u razdoblju od 2000. do 2009. </w:t>
      </w:r>
      <w:r w:rsidR="00832724" w:rsidRPr="002E3953">
        <w:rPr>
          <w:color w:val="auto"/>
        </w:rPr>
        <w:t>Predviđen budući ponor trebao bi se temeljiti na ekstrapolaciji praksi gospodarenja šumama i intenzitetu iz referentnog razdoblja. Smanjenje ponora u odnosu na referentnu razinu trebalo bi se računati kao emisije. Pri tome treba uzeti u obzir specifične nacionalne okolnosti i prakse, poput intenziteta.</w:t>
      </w:r>
      <w:r w:rsidR="006D311B" w:rsidRPr="002E3953">
        <w:rPr>
          <w:color w:val="auto"/>
        </w:rPr>
        <w:t xml:space="preserve"> </w:t>
      </w:r>
    </w:p>
    <w:p w:rsidR="00D36DA4" w:rsidRPr="002E3953" w:rsidRDefault="00D36DA4" w:rsidP="00D36DA4">
      <w:pPr>
        <w:rPr>
          <w:color w:val="auto"/>
        </w:rPr>
      </w:pPr>
    </w:p>
    <w:p w:rsidR="00F116E8" w:rsidRPr="002E3953" w:rsidRDefault="00F116E8" w:rsidP="00F116E8">
      <w:pPr>
        <w:rPr>
          <w:color w:val="auto"/>
        </w:rPr>
      </w:pPr>
      <w:r w:rsidRPr="002E3953">
        <w:rPr>
          <w:color w:val="auto"/>
        </w:rPr>
        <w:t xml:space="preserve">Činjenica da se nova referentna razina za šume određuje temeljem nastavka dosadašnje prakse i intenziteta </w:t>
      </w:r>
      <w:r w:rsidR="007D4553" w:rsidRPr="002E3953">
        <w:rPr>
          <w:color w:val="auto"/>
        </w:rPr>
        <w:t>gospodare</w:t>
      </w:r>
      <w:r w:rsidRPr="002E3953">
        <w:rPr>
          <w:color w:val="auto"/>
        </w:rPr>
        <w:t xml:space="preserve">nja šumama u periodu od 1990. do 2009. RH predstavlja velik problem zbog Domovinskog rata, kao i posljedica koje je rat ostavio. </w:t>
      </w:r>
    </w:p>
    <w:p w:rsidR="00F116E8" w:rsidRPr="002E3953" w:rsidRDefault="00F116E8" w:rsidP="00D36DA4">
      <w:pPr>
        <w:rPr>
          <w:color w:val="auto"/>
        </w:rPr>
      </w:pPr>
    </w:p>
    <w:p w:rsidR="00D36DA4" w:rsidRPr="002E3953" w:rsidRDefault="00F116E8" w:rsidP="00D36DA4">
      <w:pPr>
        <w:rPr>
          <w:color w:val="auto"/>
        </w:rPr>
      </w:pPr>
      <w:r w:rsidRPr="002E3953">
        <w:rPr>
          <w:color w:val="auto"/>
        </w:rPr>
        <w:t>Na navedeno je s hrvatske strane ukazano tijekom rasprave o Prijedlogu Uredbe LULUCF, što je uzeto u obzir te je prema članku 8. Prijedloga Uredbe LULUCF Hrvatskoj omogućeno da, z</w:t>
      </w:r>
      <w:r w:rsidR="00D36DA4" w:rsidRPr="002E3953">
        <w:rPr>
          <w:color w:val="auto"/>
        </w:rPr>
        <w:t>bog svojih nacionalnih okolnosti, u</w:t>
      </w:r>
      <w:r w:rsidRPr="002E3953">
        <w:rPr>
          <w:color w:val="auto"/>
        </w:rPr>
        <w:t xml:space="preserve"> referentnoj razini za šume, </w:t>
      </w:r>
      <w:r w:rsidR="00D36DA4" w:rsidRPr="002E3953">
        <w:rPr>
          <w:color w:val="auto"/>
        </w:rPr>
        <w:t>uz kriterije navedene u odjeljku A Priloga IV Prijedloga Uredbe LULUCF</w:t>
      </w:r>
      <w:r w:rsidRPr="002E3953">
        <w:rPr>
          <w:color w:val="auto"/>
        </w:rPr>
        <w:t xml:space="preserve"> može</w:t>
      </w:r>
      <w:r w:rsidR="00D36DA4" w:rsidRPr="002E3953">
        <w:rPr>
          <w:color w:val="auto"/>
        </w:rPr>
        <w:t xml:space="preserve"> </w:t>
      </w:r>
      <w:r w:rsidRPr="002E3953">
        <w:rPr>
          <w:color w:val="auto"/>
        </w:rPr>
        <w:t>uzeti u obzir i okupaciju</w:t>
      </w:r>
      <w:r w:rsidR="00D36DA4" w:rsidRPr="002E3953">
        <w:rPr>
          <w:color w:val="auto"/>
        </w:rPr>
        <w:t xml:space="preserve"> njezina državnog područja, rat i poslijeratne okolnosti koje imaju utjecaja na gospodarenje šumama tijekom referentnog razdoblja.</w:t>
      </w:r>
    </w:p>
    <w:p w:rsidR="00D36DA4" w:rsidRPr="002E3953" w:rsidRDefault="00D36DA4" w:rsidP="00D36DA4">
      <w:pPr>
        <w:rPr>
          <w:color w:val="auto"/>
        </w:rPr>
      </w:pPr>
    </w:p>
    <w:p w:rsidR="00D36DA4" w:rsidRPr="002E3953" w:rsidRDefault="00D36DA4" w:rsidP="00D36DA4">
      <w:pPr>
        <w:rPr>
          <w:color w:val="auto"/>
        </w:rPr>
      </w:pPr>
      <w:r w:rsidRPr="002E3953">
        <w:rPr>
          <w:color w:val="auto"/>
        </w:rPr>
        <w:t>U referentnim razinama za šume, uzima se u obzir budući utjecaj dinamične značajke šuma povezane sa starošću kako bi se izbjeglo neopravdano ograničavanje intenziteta gospodarenja šumama kao temeljni element prakse održivoga gospodarenja šumama, s ciljem održavanja ili jačanja dugoročnih ponora ugljika, upotrebom najboljih dostupnih podataka.</w:t>
      </w:r>
    </w:p>
    <w:p w:rsidR="00D36DA4" w:rsidRPr="002E3953" w:rsidRDefault="00D36DA4" w:rsidP="00D36DA4">
      <w:pPr>
        <w:rPr>
          <w:color w:val="auto"/>
        </w:rPr>
      </w:pPr>
    </w:p>
    <w:p w:rsidR="00D36DA4" w:rsidRPr="002E3953" w:rsidRDefault="00DA6264" w:rsidP="00D36DA4">
      <w:pPr>
        <w:rPr>
          <w:color w:val="auto"/>
        </w:rPr>
      </w:pPr>
      <w:r w:rsidRPr="002E3953">
        <w:rPr>
          <w:color w:val="auto"/>
        </w:rPr>
        <w:t>I</w:t>
      </w:r>
      <w:r w:rsidR="00D36DA4" w:rsidRPr="002E3953">
        <w:rPr>
          <w:color w:val="auto"/>
        </w:rPr>
        <w:t>zmeđu metoda i podataka koji se upotrebljavaju za utvrđivanje predložene referentne razine z</w:t>
      </w:r>
      <w:r w:rsidRPr="002E3953">
        <w:rPr>
          <w:color w:val="auto"/>
        </w:rPr>
        <w:t>a šume u N</w:t>
      </w:r>
      <w:r w:rsidR="00D36DA4" w:rsidRPr="002E3953">
        <w:rPr>
          <w:color w:val="auto"/>
        </w:rPr>
        <w:t xml:space="preserve">acionalnom računskom planu za šumarstvo i onih koji se upotrebljavaju u </w:t>
      </w:r>
      <w:r w:rsidRPr="002E3953">
        <w:rPr>
          <w:color w:val="auto"/>
        </w:rPr>
        <w:t xml:space="preserve">godišnjem </w:t>
      </w:r>
      <w:r w:rsidR="00D36DA4" w:rsidRPr="002E3953">
        <w:rPr>
          <w:color w:val="auto"/>
        </w:rPr>
        <w:t>izvješćivanju za šumsko zemljište kojim se gospodari</w:t>
      </w:r>
      <w:r w:rsidRPr="002E3953">
        <w:rPr>
          <w:color w:val="auto"/>
        </w:rPr>
        <w:t xml:space="preserve"> (NIR), mora postojati dosljednost</w:t>
      </w:r>
      <w:r w:rsidR="00D36DA4" w:rsidRPr="002E3953">
        <w:rPr>
          <w:color w:val="auto"/>
        </w:rPr>
        <w:t xml:space="preserve">. </w:t>
      </w:r>
    </w:p>
    <w:p w:rsidR="00D36DA4" w:rsidRPr="002E3953" w:rsidRDefault="00D36DA4" w:rsidP="00D36DA4">
      <w:pPr>
        <w:rPr>
          <w:color w:val="auto"/>
        </w:rPr>
      </w:pPr>
    </w:p>
    <w:p w:rsidR="00D36DA4" w:rsidRPr="002E3953" w:rsidRDefault="00D36DA4" w:rsidP="00D36DA4">
      <w:pPr>
        <w:rPr>
          <w:color w:val="auto"/>
        </w:rPr>
      </w:pPr>
      <w:r w:rsidRPr="002E3953">
        <w:rPr>
          <w:color w:val="auto"/>
        </w:rPr>
        <w:t>Za izradu Nacrta nacionalnog računskog plana za šumarstvo, uključujući i predloženu referentnu razinu za šume za razdoblje od 2021. do 2025., potrebno je upotrijebiti i Smjernice koje izrađuje Europska komisija, a biti će raspoložive za korištenje u srpnju 2018. godine.</w:t>
      </w:r>
    </w:p>
    <w:p w:rsidR="00F123A6" w:rsidRPr="002E3953" w:rsidRDefault="00F123A6" w:rsidP="0043592E">
      <w:pPr>
        <w:rPr>
          <w:color w:val="auto"/>
        </w:rPr>
      </w:pPr>
    </w:p>
    <w:p w:rsidR="00593F2B" w:rsidRPr="002E3953" w:rsidRDefault="00593F2B" w:rsidP="0043592E">
      <w:pPr>
        <w:rPr>
          <w:color w:val="auto"/>
        </w:rPr>
      </w:pPr>
      <w:r w:rsidRPr="002E3953">
        <w:rPr>
          <w:color w:val="auto"/>
        </w:rPr>
        <w:t>Odgovarajućim pravilima za obračun uzimaju se u obzir načela održivog gospodarenja šumama kako su usvojena na ministarskim konferencijama o zaštiti šuma u Europi („Forest Europe”).</w:t>
      </w:r>
    </w:p>
    <w:p w:rsidR="009A587A" w:rsidRPr="002E3953" w:rsidRDefault="009A587A" w:rsidP="00F123A6">
      <w:pPr>
        <w:rPr>
          <w:color w:val="auto"/>
        </w:rPr>
      </w:pPr>
    </w:p>
    <w:p w:rsidR="00F123A6" w:rsidRPr="002E3953" w:rsidRDefault="00DA6264" w:rsidP="00F123A6">
      <w:pPr>
        <w:rPr>
          <w:color w:val="auto"/>
        </w:rPr>
      </w:pPr>
      <w:r w:rsidRPr="002E3953">
        <w:rPr>
          <w:color w:val="auto"/>
        </w:rPr>
        <w:t>Po dostavljanju Nacionalnog računskog plana za šumarstvo, Europska k</w:t>
      </w:r>
      <w:r w:rsidR="00F123A6" w:rsidRPr="002E3953">
        <w:rPr>
          <w:color w:val="auto"/>
        </w:rPr>
        <w:t>omisija</w:t>
      </w:r>
      <w:r w:rsidRPr="002E3953">
        <w:rPr>
          <w:color w:val="auto"/>
        </w:rPr>
        <w:t xml:space="preserve"> će </w:t>
      </w:r>
      <w:r w:rsidR="00F123A6" w:rsidRPr="002E3953">
        <w:rPr>
          <w:color w:val="auto"/>
        </w:rPr>
        <w:t>provodi</w:t>
      </w:r>
      <w:r w:rsidRPr="002E3953">
        <w:rPr>
          <w:color w:val="auto"/>
        </w:rPr>
        <w:t>ti</w:t>
      </w:r>
      <w:r w:rsidR="00F123A6" w:rsidRPr="002E3953">
        <w:rPr>
          <w:color w:val="auto"/>
        </w:rPr>
        <w:t xml:space="preserve"> </w:t>
      </w:r>
      <w:r w:rsidRPr="002E3953">
        <w:rPr>
          <w:color w:val="auto"/>
        </w:rPr>
        <w:t xml:space="preserve">njegovu </w:t>
      </w:r>
      <w:r w:rsidR="00F123A6" w:rsidRPr="002E3953">
        <w:rPr>
          <w:color w:val="auto"/>
        </w:rPr>
        <w:t>tehničku procjenu</w:t>
      </w:r>
      <w:r w:rsidRPr="002E3953">
        <w:rPr>
          <w:color w:val="auto"/>
        </w:rPr>
        <w:t>,</w:t>
      </w:r>
      <w:r w:rsidR="00F123A6" w:rsidRPr="002E3953">
        <w:rPr>
          <w:color w:val="auto"/>
        </w:rPr>
        <w:t xml:space="preserve"> kako bi se procijenilo u kojoj su mjeri predložene referentne razine za šume određene u skladu s načelima i zahtjevima iz </w:t>
      </w:r>
      <w:r w:rsidRPr="002E3953">
        <w:rPr>
          <w:color w:val="auto"/>
        </w:rPr>
        <w:t>Prijedloga Uredbe LULUCF</w:t>
      </w:r>
      <w:r w:rsidR="00F123A6" w:rsidRPr="002E3953">
        <w:rPr>
          <w:color w:val="auto"/>
        </w:rPr>
        <w:t xml:space="preserve">. Komisija objavljuje sažetak obavljenog rada, uključujući tehničke preporuke državama članicama u kojima se odražavaju zaključci tehničke procjene kako bi se olakšala tehnička revizija predloženih referentnih razina za šumarstvo. </w:t>
      </w:r>
    </w:p>
    <w:p w:rsidR="00DA6264" w:rsidRPr="002E3953" w:rsidRDefault="00DA6264" w:rsidP="00F123A6">
      <w:pPr>
        <w:rPr>
          <w:color w:val="auto"/>
        </w:rPr>
      </w:pPr>
    </w:p>
    <w:p w:rsidR="00F123A6" w:rsidRPr="002E3953" w:rsidRDefault="00DA6264" w:rsidP="00F123A6">
      <w:pPr>
        <w:rPr>
          <w:color w:val="auto"/>
        </w:rPr>
      </w:pPr>
      <w:r w:rsidRPr="002E3953">
        <w:rPr>
          <w:color w:val="auto"/>
        </w:rPr>
        <w:t>N</w:t>
      </w:r>
      <w:r w:rsidR="00F123A6" w:rsidRPr="002E3953">
        <w:rPr>
          <w:color w:val="auto"/>
        </w:rPr>
        <w:t xml:space="preserve">a temelju tehničkih procjena </w:t>
      </w:r>
      <w:r w:rsidRPr="002E3953">
        <w:rPr>
          <w:color w:val="auto"/>
        </w:rPr>
        <w:t xml:space="preserve">i </w:t>
      </w:r>
      <w:r w:rsidR="00F123A6" w:rsidRPr="002E3953">
        <w:rPr>
          <w:color w:val="auto"/>
        </w:rPr>
        <w:t xml:space="preserve">preporuka, </w:t>
      </w:r>
      <w:r w:rsidRPr="002E3953">
        <w:rPr>
          <w:color w:val="auto"/>
        </w:rPr>
        <w:t xml:space="preserve">Europskoj </w:t>
      </w:r>
      <w:r w:rsidR="00F123A6" w:rsidRPr="002E3953">
        <w:rPr>
          <w:color w:val="auto"/>
        </w:rPr>
        <w:t xml:space="preserve">Komisiji </w:t>
      </w:r>
      <w:r w:rsidRPr="002E3953">
        <w:rPr>
          <w:color w:val="auto"/>
        </w:rPr>
        <w:t xml:space="preserve">će se prema potrebi </w:t>
      </w:r>
      <w:r w:rsidR="00F123A6" w:rsidRPr="002E3953">
        <w:rPr>
          <w:color w:val="auto"/>
        </w:rPr>
        <w:t>dostav</w:t>
      </w:r>
      <w:r w:rsidRPr="002E3953">
        <w:rPr>
          <w:color w:val="auto"/>
        </w:rPr>
        <w:t>iti</w:t>
      </w:r>
      <w:r w:rsidR="00F123A6" w:rsidRPr="002E3953">
        <w:rPr>
          <w:color w:val="auto"/>
        </w:rPr>
        <w:t xml:space="preserve"> revidirane predložene referentne razine za šume do 31. prosinca 2019. za razdoblje od 2021. do 2025. Komisija objavljuje</w:t>
      </w:r>
      <w:r w:rsidR="00832724" w:rsidRPr="002E3953">
        <w:rPr>
          <w:color w:val="auto"/>
        </w:rPr>
        <w:t xml:space="preserve"> delegiranim aktom</w:t>
      </w:r>
      <w:r w:rsidR="00F123A6" w:rsidRPr="002E3953">
        <w:rPr>
          <w:color w:val="auto"/>
        </w:rPr>
        <w:t xml:space="preserve"> predložene referentne razine za šume koje su dostavile države članice.</w:t>
      </w:r>
    </w:p>
    <w:p w:rsidR="00DA6264" w:rsidRPr="002E3953" w:rsidRDefault="00DA6264" w:rsidP="00F123A6">
      <w:pPr>
        <w:rPr>
          <w:color w:val="auto"/>
        </w:rPr>
      </w:pPr>
    </w:p>
    <w:p w:rsidR="00BB645F" w:rsidRPr="002E3953" w:rsidRDefault="00F123A6" w:rsidP="00832724">
      <w:pPr>
        <w:rPr>
          <w:color w:val="auto"/>
        </w:rPr>
      </w:pPr>
      <w:r w:rsidRPr="002E3953">
        <w:rPr>
          <w:color w:val="auto"/>
        </w:rPr>
        <w:t>Ako država članica ne podnese</w:t>
      </w:r>
      <w:r w:rsidR="00832724" w:rsidRPr="002E3953">
        <w:rPr>
          <w:color w:val="auto"/>
        </w:rPr>
        <w:t xml:space="preserve"> Europskoj k</w:t>
      </w:r>
      <w:r w:rsidRPr="002E3953">
        <w:rPr>
          <w:color w:val="auto"/>
        </w:rPr>
        <w:t xml:space="preserve">omisiji svoju referentnu razinu za šume do </w:t>
      </w:r>
      <w:r w:rsidR="00832724" w:rsidRPr="002E3953">
        <w:rPr>
          <w:color w:val="auto"/>
        </w:rPr>
        <w:t>31. prosinca 2018. za razdoblje od 2021. do 2025., odnosno ako ne podnese revidiranu referentnu razinu, Europska</w:t>
      </w:r>
      <w:r w:rsidRPr="002E3953">
        <w:rPr>
          <w:color w:val="auto"/>
        </w:rPr>
        <w:t xml:space="preserve"> </w:t>
      </w:r>
      <w:r w:rsidR="00832724" w:rsidRPr="002E3953">
        <w:rPr>
          <w:color w:val="auto"/>
        </w:rPr>
        <w:t>k</w:t>
      </w:r>
      <w:r w:rsidRPr="002E3953">
        <w:rPr>
          <w:color w:val="auto"/>
        </w:rPr>
        <w:t xml:space="preserve">omisija </w:t>
      </w:r>
      <w:r w:rsidR="00832724" w:rsidRPr="002E3953">
        <w:rPr>
          <w:color w:val="auto"/>
        </w:rPr>
        <w:t>donosi delegirani</w:t>
      </w:r>
      <w:r w:rsidRPr="002E3953">
        <w:rPr>
          <w:color w:val="auto"/>
        </w:rPr>
        <w:t xml:space="preserve"> akt kojim</w:t>
      </w:r>
      <w:r w:rsidR="00832724" w:rsidRPr="002E3953">
        <w:rPr>
          <w:color w:val="auto"/>
        </w:rPr>
        <w:t xml:space="preserve"> utvrđuje referentnu razinu</w:t>
      </w:r>
      <w:r w:rsidRPr="002E3953">
        <w:rPr>
          <w:color w:val="auto"/>
        </w:rPr>
        <w:t xml:space="preserve"> za šume koju ta država članica treba primjenjivati u razdoblju od 2021. do 2025. </w:t>
      </w:r>
    </w:p>
    <w:p w:rsidR="008B62B9" w:rsidRPr="002E3953" w:rsidRDefault="008B62B9" w:rsidP="00832724">
      <w:pPr>
        <w:rPr>
          <w:color w:val="auto"/>
        </w:rPr>
      </w:pPr>
    </w:p>
    <w:p w:rsidR="007E4420" w:rsidRPr="00C87632" w:rsidRDefault="00CA0F2C" w:rsidP="00C87632">
      <w:pPr>
        <w:pStyle w:val="Naslov1"/>
        <w:rPr>
          <w:rFonts w:cs="Times New Roman"/>
          <w:color w:val="auto"/>
          <w:sz w:val="24"/>
          <w:szCs w:val="24"/>
        </w:rPr>
      </w:pPr>
      <w:bookmarkStart w:id="10" w:name="_Toc512519992"/>
      <w:bookmarkStart w:id="11" w:name="_Toc512520600"/>
      <w:bookmarkStart w:id="12" w:name="_Toc512520837"/>
      <w:bookmarkStart w:id="13" w:name="_Toc512520978"/>
      <w:r w:rsidRPr="00C87632">
        <w:rPr>
          <w:rFonts w:cs="Times New Roman"/>
          <w:color w:val="auto"/>
          <w:sz w:val="24"/>
          <w:szCs w:val="24"/>
        </w:rPr>
        <w:t>3.</w:t>
      </w:r>
      <w:r w:rsidRPr="00C87632">
        <w:rPr>
          <w:rFonts w:cs="Times New Roman"/>
          <w:color w:val="auto"/>
          <w:sz w:val="24"/>
          <w:szCs w:val="24"/>
        </w:rPr>
        <w:tab/>
      </w:r>
      <w:r w:rsidR="001635C7" w:rsidRPr="00C87632">
        <w:rPr>
          <w:rFonts w:cs="Times New Roman"/>
          <w:color w:val="auto"/>
          <w:sz w:val="24"/>
          <w:szCs w:val="24"/>
        </w:rPr>
        <w:t xml:space="preserve">Organizacija rada izrade </w:t>
      </w:r>
      <w:r w:rsidR="00263810" w:rsidRPr="00C87632">
        <w:rPr>
          <w:rFonts w:cs="Times New Roman"/>
          <w:color w:val="auto"/>
          <w:sz w:val="24"/>
          <w:szCs w:val="24"/>
        </w:rPr>
        <w:t>Nacrta nacionalnog računskog plana za šumarstvo,</w:t>
      </w:r>
      <w:r w:rsidR="00C87632" w:rsidRPr="00C87632">
        <w:rPr>
          <w:rFonts w:cs="Times New Roman"/>
          <w:color w:val="auto"/>
          <w:sz w:val="24"/>
          <w:szCs w:val="24"/>
        </w:rPr>
        <w:t xml:space="preserve"> </w:t>
      </w:r>
      <w:r w:rsidR="00263810" w:rsidRPr="00C87632">
        <w:rPr>
          <w:rFonts w:cs="Times New Roman"/>
          <w:color w:val="auto"/>
          <w:sz w:val="24"/>
          <w:szCs w:val="24"/>
        </w:rPr>
        <w:t>uključujući i predloženu referentnu razinu za šume za razdoblje od 2021. do 2025.</w:t>
      </w:r>
      <w:bookmarkEnd w:id="10"/>
      <w:bookmarkEnd w:id="11"/>
      <w:bookmarkEnd w:id="12"/>
      <w:bookmarkEnd w:id="13"/>
    </w:p>
    <w:p w:rsidR="009A4881" w:rsidRPr="002E3953" w:rsidRDefault="009A4881" w:rsidP="009A4881">
      <w:pPr>
        <w:rPr>
          <w:color w:val="auto"/>
        </w:rPr>
      </w:pPr>
    </w:p>
    <w:p w:rsidR="00AC354F" w:rsidRPr="002E3953" w:rsidRDefault="00CA0F2C" w:rsidP="003619D6">
      <w:pPr>
        <w:pStyle w:val="Naslov2"/>
        <w:rPr>
          <w:color w:val="auto"/>
        </w:rPr>
      </w:pPr>
      <w:bookmarkStart w:id="14" w:name="_Toc512519993"/>
      <w:bookmarkStart w:id="15" w:name="_Toc512520601"/>
      <w:bookmarkStart w:id="16" w:name="_Toc512520838"/>
      <w:bookmarkStart w:id="17" w:name="_Toc512520979"/>
      <w:r w:rsidRPr="002E3953">
        <w:rPr>
          <w:color w:val="auto"/>
        </w:rPr>
        <w:t>3.1.</w:t>
      </w:r>
      <w:r w:rsidRPr="002E3953">
        <w:rPr>
          <w:color w:val="auto"/>
        </w:rPr>
        <w:tab/>
      </w:r>
      <w:r w:rsidR="00345A21" w:rsidRPr="002E3953">
        <w:rPr>
          <w:color w:val="auto"/>
        </w:rPr>
        <w:t xml:space="preserve">Rezultati </w:t>
      </w:r>
      <w:r w:rsidR="00AC354F" w:rsidRPr="002E3953">
        <w:rPr>
          <w:color w:val="auto"/>
        </w:rPr>
        <w:t>projekta</w:t>
      </w:r>
      <w:bookmarkEnd w:id="14"/>
      <w:bookmarkEnd w:id="15"/>
      <w:bookmarkEnd w:id="16"/>
      <w:bookmarkEnd w:id="17"/>
    </w:p>
    <w:p w:rsidR="00AC354F" w:rsidRPr="002E3953" w:rsidRDefault="00AC354F" w:rsidP="0043592E">
      <w:pPr>
        <w:rPr>
          <w:color w:val="auto"/>
        </w:rPr>
      </w:pPr>
    </w:p>
    <w:p w:rsidR="007E4420" w:rsidRPr="002E3953" w:rsidRDefault="001E6456" w:rsidP="0043592E">
      <w:pPr>
        <w:rPr>
          <w:color w:val="auto"/>
        </w:rPr>
      </w:pPr>
      <w:r w:rsidRPr="002E3953">
        <w:rPr>
          <w:color w:val="auto"/>
        </w:rPr>
        <w:t xml:space="preserve">Specifični </w:t>
      </w:r>
      <w:r w:rsidR="00345A21" w:rsidRPr="002E3953">
        <w:rPr>
          <w:color w:val="auto"/>
        </w:rPr>
        <w:t>rezultati</w:t>
      </w:r>
      <w:r w:rsidRPr="002E3953">
        <w:rPr>
          <w:color w:val="auto"/>
        </w:rPr>
        <w:t xml:space="preserve"> projekta su:</w:t>
      </w:r>
    </w:p>
    <w:p w:rsidR="003B1D82" w:rsidRPr="002E3953" w:rsidRDefault="003B1D82" w:rsidP="00084BAA">
      <w:pPr>
        <w:pStyle w:val="Odlomakpopisa"/>
        <w:numPr>
          <w:ilvl w:val="0"/>
          <w:numId w:val="44"/>
        </w:numPr>
        <w:rPr>
          <w:color w:val="auto"/>
        </w:rPr>
      </w:pPr>
      <w:r w:rsidRPr="002E3953">
        <w:rPr>
          <w:color w:val="auto"/>
        </w:rPr>
        <w:t xml:space="preserve">Pripremiti </w:t>
      </w:r>
      <w:r w:rsidR="00263810" w:rsidRPr="002E3953">
        <w:rPr>
          <w:color w:val="auto"/>
        </w:rPr>
        <w:t>Nacrt nacionalnog računskog plana za šumarstvo, uključujući i predloženu referentnu razinu za šume za razdoblje od 2021. do 2025.</w:t>
      </w:r>
      <w:r w:rsidR="000B0F7F" w:rsidRPr="002E3953">
        <w:rPr>
          <w:color w:val="auto"/>
        </w:rPr>
        <w:t xml:space="preserve"> godine </w:t>
      </w:r>
      <w:r w:rsidRPr="002E3953">
        <w:rPr>
          <w:color w:val="auto"/>
        </w:rPr>
        <w:t>koj</w:t>
      </w:r>
      <w:r w:rsidR="00484900" w:rsidRPr="002E3953">
        <w:rPr>
          <w:color w:val="auto"/>
        </w:rPr>
        <w:t>i</w:t>
      </w:r>
      <w:r w:rsidRPr="002E3953">
        <w:rPr>
          <w:color w:val="auto"/>
        </w:rPr>
        <w:t xml:space="preserve"> će </w:t>
      </w:r>
      <w:r w:rsidR="00AA153E" w:rsidRPr="002E3953">
        <w:rPr>
          <w:color w:val="auto"/>
        </w:rPr>
        <w:t xml:space="preserve">se </w:t>
      </w:r>
      <w:r w:rsidR="00345A21" w:rsidRPr="002E3953">
        <w:rPr>
          <w:color w:val="auto"/>
        </w:rPr>
        <w:t xml:space="preserve">razmotriti, </w:t>
      </w:r>
      <w:r w:rsidRPr="002E3953">
        <w:rPr>
          <w:color w:val="auto"/>
        </w:rPr>
        <w:t>komentirati</w:t>
      </w:r>
      <w:r w:rsidR="00345A21" w:rsidRPr="002E3953">
        <w:rPr>
          <w:color w:val="auto"/>
        </w:rPr>
        <w:t xml:space="preserve"> i usuglasiti</w:t>
      </w:r>
      <w:r w:rsidRPr="002E3953">
        <w:rPr>
          <w:color w:val="auto"/>
        </w:rPr>
        <w:t xml:space="preserve"> u okviru </w:t>
      </w:r>
      <w:r w:rsidR="00F116E8" w:rsidRPr="002E3953">
        <w:rPr>
          <w:color w:val="auto"/>
        </w:rPr>
        <w:t xml:space="preserve">stručnih </w:t>
      </w:r>
      <w:r w:rsidRPr="002E3953">
        <w:rPr>
          <w:color w:val="auto"/>
        </w:rPr>
        <w:t>konzultacija</w:t>
      </w:r>
      <w:r w:rsidR="00F116E8" w:rsidRPr="002E3953">
        <w:rPr>
          <w:color w:val="auto"/>
        </w:rPr>
        <w:t xml:space="preserve">, uključujući Povjerenstvo za međusektorsku koordinaciju za nacionalni sustav </w:t>
      </w:r>
      <w:r w:rsidR="00084BAA" w:rsidRPr="002E3953">
        <w:rPr>
          <w:color w:val="auto"/>
        </w:rPr>
        <w:t>za praćenje emisija stakleničkih plinova</w:t>
      </w:r>
      <w:r w:rsidR="0050363A" w:rsidRPr="002E3953">
        <w:rPr>
          <w:color w:val="auto"/>
        </w:rPr>
        <w:t xml:space="preserve"> (dalje u tekstu: Povjerenstvo) </w:t>
      </w:r>
      <w:r w:rsidR="00484900" w:rsidRPr="002E3953">
        <w:rPr>
          <w:color w:val="auto"/>
        </w:rPr>
        <w:t>te dostaviti Europskoj komisiji do 31. 12. 2018.</w:t>
      </w:r>
      <w:r w:rsidR="000B0F7F" w:rsidRPr="002E3953">
        <w:rPr>
          <w:color w:val="auto"/>
        </w:rPr>
        <w:t xml:space="preserve"> godine.</w:t>
      </w:r>
    </w:p>
    <w:p w:rsidR="0061707A" w:rsidRPr="002E3953" w:rsidRDefault="00345A21" w:rsidP="00263810">
      <w:pPr>
        <w:pStyle w:val="Odlomakpopisa"/>
        <w:numPr>
          <w:ilvl w:val="0"/>
          <w:numId w:val="44"/>
        </w:numPr>
        <w:rPr>
          <w:color w:val="auto"/>
        </w:rPr>
      </w:pPr>
      <w:r w:rsidRPr="002E3953">
        <w:rPr>
          <w:color w:val="auto"/>
        </w:rPr>
        <w:t>Pripremiti</w:t>
      </w:r>
      <w:r w:rsidR="0050363A" w:rsidRPr="002E3953">
        <w:rPr>
          <w:color w:val="auto"/>
        </w:rPr>
        <w:t xml:space="preserve"> konačni</w:t>
      </w:r>
      <w:r w:rsidRPr="002E3953">
        <w:rPr>
          <w:color w:val="auto"/>
        </w:rPr>
        <w:t xml:space="preserve"> </w:t>
      </w:r>
      <w:r w:rsidR="00263810" w:rsidRPr="002E3953">
        <w:rPr>
          <w:color w:val="auto"/>
        </w:rPr>
        <w:t>Nacrt nacionalnog računskog plana za šumarstvo, uključujući i predloženu referentnu razinu za šume za razdoblje od 2021. do 2025., korigiran</w:t>
      </w:r>
      <w:r w:rsidR="00484900" w:rsidRPr="002E3953">
        <w:rPr>
          <w:color w:val="auto"/>
        </w:rPr>
        <w:t xml:space="preserve"> sukladno preporukama Europske komisije</w:t>
      </w:r>
      <w:r w:rsidR="0050363A" w:rsidRPr="002E3953">
        <w:rPr>
          <w:color w:val="auto"/>
        </w:rPr>
        <w:t xml:space="preserve">, </w:t>
      </w:r>
      <w:r w:rsidR="00484900" w:rsidRPr="002E3953">
        <w:rPr>
          <w:color w:val="auto"/>
        </w:rPr>
        <w:t xml:space="preserve">primjedbama </w:t>
      </w:r>
      <w:r w:rsidR="001E1270" w:rsidRPr="002E3953">
        <w:rPr>
          <w:color w:val="auto"/>
        </w:rPr>
        <w:t>stručnjaka TDU</w:t>
      </w:r>
      <w:r w:rsidR="0050363A" w:rsidRPr="002E3953">
        <w:rPr>
          <w:color w:val="auto"/>
        </w:rPr>
        <w:t xml:space="preserve"> i</w:t>
      </w:r>
      <w:r w:rsidR="001E1270" w:rsidRPr="002E3953">
        <w:rPr>
          <w:color w:val="auto"/>
        </w:rPr>
        <w:t xml:space="preserve"> Povjerenstva</w:t>
      </w:r>
      <w:r w:rsidR="0050363A" w:rsidRPr="002E3953">
        <w:rPr>
          <w:color w:val="auto"/>
        </w:rPr>
        <w:t xml:space="preserve">. </w:t>
      </w:r>
    </w:p>
    <w:p w:rsidR="00AC354F" w:rsidRPr="002E3953" w:rsidRDefault="00AC354F" w:rsidP="0043592E">
      <w:pPr>
        <w:rPr>
          <w:color w:val="auto"/>
        </w:rPr>
      </w:pPr>
    </w:p>
    <w:p w:rsidR="00AC354F" w:rsidRPr="002E3953" w:rsidRDefault="00CA0F2C" w:rsidP="003619D6">
      <w:pPr>
        <w:pStyle w:val="Naslov2"/>
        <w:rPr>
          <w:color w:val="auto"/>
        </w:rPr>
      </w:pPr>
      <w:bookmarkStart w:id="18" w:name="_Toc512519994"/>
      <w:bookmarkStart w:id="19" w:name="_Toc512520602"/>
      <w:bookmarkStart w:id="20" w:name="_Toc512520839"/>
      <w:bookmarkStart w:id="21" w:name="_Toc512520980"/>
      <w:r w:rsidRPr="002E3953">
        <w:rPr>
          <w:color w:val="auto"/>
        </w:rPr>
        <w:t>3.2.</w:t>
      </w:r>
      <w:r w:rsidRPr="002E3953">
        <w:rPr>
          <w:color w:val="auto"/>
        </w:rPr>
        <w:tab/>
      </w:r>
      <w:r w:rsidR="00AC354F" w:rsidRPr="002E3953">
        <w:rPr>
          <w:color w:val="auto"/>
        </w:rPr>
        <w:t>Organizacija rada</w:t>
      </w:r>
      <w:bookmarkEnd w:id="18"/>
      <w:bookmarkEnd w:id="19"/>
      <w:bookmarkEnd w:id="20"/>
      <w:bookmarkEnd w:id="21"/>
    </w:p>
    <w:p w:rsidR="00AC354F" w:rsidRPr="002E3953" w:rsidRDefault="00AC354F" w:rsidP="0043592E">
      <w:pPr>
        <w:rPr>
          <w:color w:val="auto"/>
        </w:rPr>
      </w:pPr>
    </w:p>
    <w:p w:rsidR="00506791" w:rsidRPr="002E3953" w:rsidRDefault="002B6855" w:rsidP="0043592E">
      <w:pPr>
        <w:rPr>
          <w:color w:val="auto"/>
        </w:rPr>
      </w:pPr>
      <w:r w:rsidRPr="002E3953">
        <w:rPr>
          <w:color w:val="auto"/>
        </w:rPr>
        <w:t>Ko</w:t>
      </w:r>
      <w:r w:rsidR="00506791" w:rsidRPr="002E3953">
        <w:rPr>
          <w:color w:val="auto"/>
        </w:rPr>
        <w:t>o</w:t>
      </w:r>
      <w:r w:rsidRPr="002E3953">
        <w:rPr>
          <w:color w:val="auto"/>
        </w:rPr>
        <w:t>rdinacijsko</w:t>
      </w:r>
      <w:r w:rsidR="00506791" w:rsidRPr="002E3953">
        <w:rPr>
          <w:color w:val="auto"/>
        </w:rPr>
        <w:t xml:space="preserve"> tijelo na izradi </w:t>
      </w:r>
      <w:r w:rsidR="00C102ED" w:rsidRPr="002E3953">
        <w:rPr>
          <w:color w:val="auto"/>
        </w:rPr>
        <w:t xml:space="preserve">stručnih podloga za izradu </w:t>
      </w:r>
      <w:r w:rsidR="00263810" w:rsidRPr="002E3953">
        <w:rPr>
          <w:color w:val="auto"/>
        </w:rPr>
        <w:t>Nacrta nacionalnog računskog plana za šumarstvo, uključujući i predloženu referentnu razinu za šume za razdoblje od 2021. do 2025.</w:t>
      </w:r>
      <w:r w:rsidR="00506791" w:rsidRPr="002E3953">
        <w:rPr>
          <w:color w:val="auto"/>
        </w:rPr>
        <w:t xml:space="preserve"> </w:t>
      </w:r>
      <w:r w:rsidR="0050363A" w:rsidRPr="002E3953">
        <w:rPr>
          <w:color w:val="auto"/>
        </w:rPr>
        <w:t>su</w:t>
      </w:r>
      <w:r w:rsidR="00506791" w:rsidRPr="002E3953">
        <w:rPr>
          <w:color w:val="auto"/>
        </w:rPr>
        <w:t xml:space="preserve"> Ministarstvo zaštite okoliša i </w:t>
      </w:r>
      <w:r w:rsidR="001E1270" w:rsidRPr="002E3953">
        <w:rPr>
          <w:color w:val="auto"/>
        </w:rPr>
        <w:t>energetike</w:t>
      </w:r>
      <w:r w:rsidR="0050363A" w:rsidRPr="002E3953">
        <w:rPr>
          <w:color w:val="auto"/>
        </w:rPr>
        <w:t>, Uprava za klimatske aktivnosti, održivi razvoj i zaštitu zraka, tla i od svjetlosnog onečišćenja i Ministarstvo poljoprivrede, Uprava šumarstva, lovstva i drvne industrije</w:t>
      </w:r>
      <w:r w:rsidRPr="002E3953">
        <w:rPr>
          <w:color w:val="auto"/>
        </w:rPr>
        <w:t xml:space="preserve"> </w:t>
      </w:r>
      <w:r w:rsidR="00506791" w:rsidRPr="002E3953">
        <w:rPr>
          <w:color w:val="auto"/>
        </w:rPr>
        <w:t>u svim fazama izvršenja zadatka.</w:t>
      </w:r>
    </w:p>
    <w:p w:rsidR="000B0F7F" w:rsidRPr="002E3953" w:rsidRDefault="000B0F7F" w:rsidP="0043592E">
      <w:pPr>
        <w:rPr>
          <w:color w:val="auto"/>
        </w:rPr>
      </w:pPr>
    </w:p>
    <w:p w:rsidR="00AA153E" w:rsidRPr="002E3953" w:rsidRDefault="00AA153E" w:rsidP="0043592E">
      <w:pPr>
        <w:rPr>
          <w:color w:val="auto"/>
        </w:rPr>
      </w:pPr>
      <w:r w:rsidRPr="002E3953">
        <w:rPr>
          <w:color w:val="auto"/>
        </w:rPr>
        <w:t>Izvoditelj je dužan</w:t>
      </w:r>
      <w:r w:rsidR="00AC354F" w:rsidRPr="002E3953">
        <w:rPr>
          <w:color w:val="auto"/>
        </w:rPr>
        <w:t xml:space="preserve"> komunicirati: </w:t>
      </w:r>
    </w:p>
    <w:p w:rsidR="00AA153E" w:rsidRPr="002E3953" w:rsidRDefault="00AC354F" w:rsidP="0043592E">
      <w:pPr>
        <w:pStyle w:val="Odlomakpopisa"/>
        <w:numPr>
          <w:ilvl w:val="0"/>
          <w:numId w:val="45"/>
        </w:numPr>
        <w:rPr>
          <w:color w:val="auto"/>
        </w:rPr>
      </w:pPr>
      <w:r w:rsidRPr="002E3953">
        <w:rPr>
          <w:color w:val="auto"/>
        </w:rPr>
        <w:t xml:space="preserve">s </w:t>
      </w:r>
      <w:r w:rsidR="002B6855" w:rsidRPr="002E3953">
        <w:rPr>
          <w:color w:val="auto"/>
        </w:rPr>
        <w:t>koordinacijskim</w:t>
      </w:r>
      <w:r w:rsidRPr="002E3953">
        <w:rPr>
          <w:color w:val="auto"/>
        </w:rPr>
        <w:t xml:space="preserve"> tijelom putem koordinacijskih </w:t>
      </w:r>
      <w:r w:rsidR="001E1270" w:rsidRPr="002E3953">
        <w:rPr>
          <w:color w:val="auto"/>
        </w:rPr>
        <w:t>sastanaka svakih mjesec dana</w:t>
      </w:r>
    </w:p>
    <w:p w:rsidR="007F7A9C" w:rsidRPr="002E3953" w:rsidRDefault="00AA153E" w:rsidP="0043592E">
      <w:pPr>
        <w:pStyle w:val="Odlomakpopisa"/>
        <w:numPr>
          <w:ilvl w:val="0"/>
          <w:numId w:val="45"/>
        </w:numPr>
        <w:rPr>
          <w:color w:val="auto"/>
        </w:rPr>
      </w:pPr>
      <w:r w:rsidRPr="002E3953">
        <w:rPr>
          <w:color w:val="auto"/>
        </w:rPr>
        <w:t xml:space="preserve">s </w:t>
      </w:r>
      <w:r w:rsidR="00AC354F" w:rsidRPr="002E3953">
        <w:rPr>
          <w:color w:val="auto"/>
        </w:rPr>
        <w:t xml:space="preserve">javnosti </w:t>
      </w:r>
      <w:r w:rsidR="001E1270" w:rsidRPr="002E3953">
        <w:rPr>
          <w:color w:val="auto"/>
        </w:rPr>
        <w:t xml:space="preserve">i Povjerenstvom </w:t>
      </w:r>
      <w:r w:rsidR="00AC354F" w:rsidRPr="002E3953">
        <w:rPr>
          <w:color w:val="auto"/>
        </w:rPr>
        <w:t xml:space="preserve">putem </w:t>
      </w:r>
      <w:r w:rsidR="001E1270" w:rsidRPr="002E3953">
        <w:rPr>
          <w:color w:val="auto"/>
        </w:rPr>
        <w:t>radionica</w:t>
      </w:r>
      <w:r w:rsidR="00AC354F" w:rsidRPr="002E3953">
        <w:rPr>
          <w:color w:val="auto"/>
        </w:rPr>
        <w:t xml:space="preserve"> koje će se organizirati u sklopu projekta</w:t>
      </w:r>
    </w:p>
    <w:p w:rsidR="00AC354F" w:rsidRPr="002E3953" w:rsidRDefault="0020433B" w:rsidP="0043592E">
      <w:pPr>
        <w:pStyle w:val="Odlomakpopisa"/>
        <w:numPr>
          <w:ilvl w:val="0"/>
          <w:numId w:val="45"/>
        </w:numPr>
        <w:rPr>
          <w:color w:val="auto"/>
        </w:rPr>
      </w:pPr>
      <w:r w:rsidRPr="002E3953">
        <w:rPr>
          <w:color w:val="auto"/>
        </w:rPr>
        <w:t>sa stručnja</w:t>
      </w:r>
      <w:r w:rsidR="0078145E" w:rsidRPr="002E3953">
        <w:rPr>
          <w:color w:val="auto"/>
        </w:rPr>
        <w:t>cima Europske komisije.</w:t>
      </w:r>
    </w:p>
    <w:p w:rsidR="003B1D82" w:rsidRPr="002E3953" w:rsidRDefault="003B1D82" w:rsidP="0043592E">
      <w:pPr>
        <w:rPr>
          <w:color w:val="auto"/>
        </w:rPr>
      </w:pPr>
    </w:p>
    <w:p w:rsidR="003B1D82" w:rsidRPr="002E3953" w:rsidRDefault="00CA0F2C" w:rsidP="003619D6">
      <w:pPr>
        <w:pStyle w:val="Naslov2"/>
        <w:rPr>
          <w:color w:val="auto"/>
        </w:rPr>
      </w:pPr>
      <w:bookmarkStart w:id="22" w:name="_Toc512519995"/>
      <w:bookmarkStart w:id="23" w:name="_Toc512520603"/>
      <w:bookmarkStart w:id="24" w:name="_Toc512520840"/>
      <w:bookmarkStart w:id="25" w:name="_Toc512520981"/>
      <w:r w:rsidRPr="002E3953">
        <w:rPr>
          <w:color w:val="auto"/>
        </w:rPr>
        <w:t>3.</w:t>
      </w:r>
      <w:r w:rsidR="00E521DC" w:rsidRPr="002E3953">
        <w:rPr>
          <w:color w:val="auto"/>
        </w:rPr>
        <w:t>3</w:t>
      </w:r>
      <w:r w:rsidRPr="002E3953">
        <w:rPr>
          <w:color w:val="auto"/>
        </w:rPr>
        <w:t>.</w:t>
      </w:r>
      <w:r w:rsidRPr="002E3953">
        <w:rPr>
          <w:color w:val="auto"/>
        </w:rPr>
        <w:tab/>
      </w:r>
      <w:r w:rsidR="00FB143A" w:rsidRPr="002E3953">
        <w:rPr>
          <w:color w:val="auto"/>
        </w:rPr>
        <w:t>Metodologija izrade</w:t>
      </w:r>
      <w:r w:rsidRPr="002E3953">
        <w:rPr>
          <w:color w:val="auto"/>
        </w:rPr>
        <w:t xml:space="preserve"> </w:t>
      </w:r>
      <w:r w:rsidR="00263810" w:rsidRPr="002E3953">
        <w:rPr>
          <w:color w:val="auto"/>
        </w:rPr>
        <w:t>Nacrta nacionalnog računskog plana za šumarstvo, uključujući i predloženu referentnu razinu za šume za razdoblje od 2021. do 2025.</w:t>
      </w:r>
      <w:bookmarkEnd w:id="22"/>
      <w:bookmarkEnd w:id="23"/>
      <w:bookmarkEnd w:id="24"/>
      <w:bookmarkEnd w:id="25"/>
    </w:p>
    <w:p w:rsidR="003B1D82" w:rsidRPr="002E3953" w:rsidRDefault="003B1D82" w:rsidP="0043592E">
      <w:pPr>
        <w:rPr>
          <w:color w:val="auto"/>
        </w:rPr>
      </w:pP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N</w:t>
      </w:r>
      <w:r w:rsidR="00263810" w:rsidRPr="002E3953">
        <w:rPr>
          <w:color w:val="auto"/>
        </w:rPr>
        <w:t xml:space="preserve">acrt nacionalnog računskog plana za šumarstvo, uključujući i predloženu referentnu razinu za šume za razdoblje od 2021. do 2025. </w:t>
      </w:r>
      <w:r w:rsidR="00CA0F2C" w:rsidRPr="002E3953">
        <w:rPr>
          <w:color w:val="auto"/>
        </w:rPr>
        <w:t>potrebno</w:t>
      </w:r>
      <w:r w:rsidRPr="002E3953">
        <w:rPr>
          <w:color w:val="auto"/>
        </w:rPr>
        <w:t xml:space="preserve"> je izraditi</w:t>
      </w:r>
      <w:r w:rsidR="0050363A" w:rsidRPr="002E3953">
        <w:rPr>
          <w:color w:val="auto"/>
        </w:rPr>
        <w:t xml:space="preserve"> upotrebom sljedećih kriterija</w:t>
      </w:r>
      <w:r w:rsidRPr="002E3953">
        <w:rPr>
          <w:color w:val="auto"/>
        </w:rPr>
        <w:t>:</w:t>
      </w:r>
    </w:p>
    <w:p w:rsidR="00AB7565" w:rsidRPr="002E3953" w:rsidRDefault="00AB7565" w:rsidP="00AB7565">
      <w:pPr>
        <w:rPr>
          <w:color w:val="auto"/>
        </w:rPr>
      </w:pP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A.</w:t>
      </w:r>
      <w:r w:rsidRPr="002E3953">
        <w:rPr>
          <w:color w:val="auto"/>
        </w:rPr>
        <w:tab/>
        <w:t>Kriteriji i smjernice za određivanje referentnih razina za šume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(a)</w:t>
      </w:r>
      <w:r w:rsidRPr="002E3953">
        <w:rPr>
          <w:color w:val="auto"/>
        </w:rPr>
        <w:tab/>
        <w:t>referentna razina u skladu je s ciljem postizanja ravnoteže između antropogenih emisija iz izvora i uklanjanja stakleničkih plinova ponorima u drugoj polovini ovog stoljeća, uključujući poboljšanje potencijalnih uklanjanja šuma koje stare, a koje bi u protivnom bilježile ponor koji postupno opada;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(b)</w:t>
      </w:r>
      <w:r w:rsidRPr="002E3953">
        <w:rPr>
          <w:color w:val="auto"/>
        </w:rPr>
        <w:tab/>
        <w:t>referentnom razinom osigurava se da je sama prisutnost zaliha ugljika isključena iz obračuna;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(c)</w:t>
      </w:r>
      <w:r w:rsidRPr="002E3953">
        <w:rPr>
          <w:color w:val="auto"/>
        </w:rPr>
        <w:tab/>
        <w:t>referentnom razinom trebalo bi osigurati pouzdan i vjerodostojan sustav obračunavanja koji jamči da su emisije i uklanjanja iz korištenja biomase ispravno obračunane;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(d)</w:t>
      </w:r>
      <w:r w:rsidRPr="002E3953">
        <w:rPr>
          <w:color w:val="auto"/>
        </w:rPr>
        <w:tab/>
        <w:t>referentna razina uključuje spremnik ugljika iz drvnih proizvoda, čime se omogućuje usporedba između pretpostavke trenutačne oksidacije i primjene funkcije raspada prvog reda i vrijednosti vremena poluraspada;</w:t>
      </w:r>
    </w:p>
    <w:p w:rsidR="00AB7565" w:rsidRPr="002E3953" w:rsidRDefault="00AB7565" w:rsidP="00AB7565">
      <w:pPr>
        <w:rPr>
          <w:color w:val="auto"/>
        </w:rPr>
      </w:pP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(e)</w:t>
      </w:r>
      <w:r w:rsidRPr="002E3953">
        <w:rPr>
          <w:color w:val="auto"/>
        </w:rPr>
        <w:tab/>
        <w:t>pretpostavlja se stalan omjer između upotrebe čvrstih materijala i iskorištavanja energije šumske biomase, kako je zabilježeno u razdoblju od 2000. do 2009.;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(f)</w:t>
      </w:r>
      <w:r w:rsidRPr="002E3953">
        <w:rPr>
          <w:color w:val="auto"/>
        </w:rPr>
        <w:tab/>
        <w:t>referentna razina trebala bi biti usklađena s ciljem doprinošenja očuvanju biološke raznolikosti i održivog korištenja prirodnih resursa, kako je utvrđeno u strategiji EU-a za šume, nacionalnim politikama država članica u području šumarstva i strategiji EU-a za biološku raznolikost;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(g)</w:t>
      </w:r>
      <w:r w:rsidRPr="002E3953">
        <w:rPr>
          <w:color w:val="auto"/>
        </w:rPr>
        <w:tab/>
        <w:t>referentna razina mora biti u skladu s nacionalnim projekcijama antropogenih emisija stakleničkih plinova iz izvora i njihova uklanjanja ponorima prijavljenima u skladu s Uredbom (EU) br. 525/2013;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(h)</w:t>
      </w:r>
      <w:r w:rsidRPr="002E3953">
        <w:rPr>
          <w:color w:val="auto"/>
        </w:rPr>
        <w:tab/>
        <w:t>referentna razina mora biti u skladu s inventarima stakleničkih plinova i relevantnim povijesnim podacima te se moraju temeljiti na transparentnim, potpunim, dosljednim, usporedivim i točnim informacijama. Konkretno, modelom korištenim za određivanje referentne razine mora biti moguće reproducirati povijesne podatke iz nacionalnog inventara stakleničkih plinova.</w:t>
      </w:r>
    </w:p>
    <w:p w:rsidR="00AB7565" w:rsidRPr="002E3953" w:rsidRDefault="00AB7565" w:rsidP="00AB7565">
      <w:pPr>
        <w:rPr>
          <w:color w:val="auto"/>
        </w:rPr>
      </w:pP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B.</w:t>
      </w:r>
      <w:r w:rsidRPr="002E3953">
        <w:rPr>
          <w:color w:val="auto"/>
        </w:rPr>
        <w:tab/>
        <w:t>Elementi nacionalnog računskog plana za šumarstvo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Nacionalni računski plan za šumarstvo podnesen u skladu s člankom 8. ove Uredbe sadržava sljedeće elemente: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(a)</w:t>
      </w:r>
      <w:r w:rsidRPr="002E3953">
        <w:rPr>
          <w:color w:val="auto"/>
        </w:rPr>
        <w:tab/>
        <w:t>općenit opis određivanja referentne razine i opis načina na koji su uzeti u obzir kriteriji iz ove Uredbe;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(b)</w:t>
      </w:r>
      <w:r w:rsidRPr="002E3953">
        <w:rPr>
          <w:color w:val="auto"/>
        </w:rPr>
        <w:tab/>
        <w:t>identifikaciju spremnika ugljika i stakleničkih plinova koji su uključeni u referentnu razinu, razloge za izostavljanje spremnika ugljika iz određivanja referentne razine te prikaz dosljednosti među spremnicima uključenima u referentnu razinu;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(c)</w:t>
      </w:r>
      <w:r w:rsidRPr="002E3953">
        <w:rPr>
          <w:color w:val="auto"/>
        </w:rPr>
        <w:tab/>
        <w:t>opis pristupa, metoda i modela, uključujući kvantitativne informacije, primijenjenih pri određivanju referentne razine, u skladu sa zadnjim podnesenim izvješćem o nacionalnom inventaru i dokumentacijskim informacijama o praksama i intenzitetu održivoga gospodarenja šumama te usvojenim nacionalnim politikama;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(d)</w:t>
      </w:r>
      <w:r w:rsidRPr="002E3953">
        <w:rPr>
          <w:color w:val="auto"/>
        </w:rPr>
        <w:tab/>
        <w:t>informacije o očekivanom kretanju stopa sječe u okviru različitih scenarija politike;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(e)</w:t>
      </w:r>
      <w:r w:rsidRPr="002E3953">
        <w:rPr>
          <w:color w:val="auto"/>
        </w:rPr>
        <w:tab/>
        <w:t>opis načina na koji je pri određivanju referentne razine uzet u obzir svaki od sljedećih elemenata: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i.</w:t>
      </w:r>
      <w:r w:rsidRPr="002E3953">
        <w:rPr>
          <w:color w:val="auto"/>
        </w:rPr>
        <w:tab/>
        <w:t>površina uključena u gospodarenje šumama;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ii.</w:t>
      </w:r>
      <w:r w:rsidRPr="002E3953">
        <w:rPr>
          <w:color w:val="auto"/>
        </w:rPr>
        <w:tab/>
        <w:t>emisije i uklanjanja iz šuma i drvnih proizvoda kako su prikazani u inventarima stakleničkih plinova i relevantnim povijesnim podacima;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iii.</w:t>
      </w:r>
      <w:r w:rsidRPr="002E3953">
        <w:rPr>
          <w:color w:val="auto"/>
        </w:rPr>
        <w:tab/>
        <w:t>svojstva šume, uključujući dinamične značajke šuma povezane sa starošću, prirast, duljinu ophodnje i druge informacije o uobičajenim aktivnostima u okviru gospodarenja šumama;</w:t>
      </w:r>
    </w:p>
    <w:p w:rsidR="00AB7565" w:rsidRPr="002E3953" w:rsidRDefault="00AB7565" w:rsidP="00AB7565">
      <w:pPr>
        <w:rPr>
          <w:color w:val="auto"/>
        </w:rPr>
      </w:pPr>
      <w:r w:rsidRPr="002E3953">
        <w:rPr>
          <w:color w:val="auto"/>
        </w:rPr>
        <w:t>iv.</w:t>
      </w:r>
      <w:r w:rsidRPr="002E3953">
        <w:rPr>
          <w:color w:val="auto"/>
        </w:rPr>
        <w:tab/>
        <w:t>povijesne i buduće stope sječe raščlanjene na energetsku i neenergetsku namjenu</w:t>
      </w:r>
      <w:r w:rsidR="00FD4DF2" w:rsidRPr="002E3953">
        <w:rPr>
          <w:color w:val="auto"/>
        </w:rPr>
        <w:t>.</w:t>
      </w:r>
    </w:p>
    <w:p w:rsidR="00AB7565" w:rsidRPr="002E3953" w:rsidRDefault="00AB7565" w:rsidP="0043592E">
      <w:pPr>
        <w:rPr>
          <w:color w:val="auto"/>
        </w:rPr>
      </w:pPr>
    </w:p>
    <w:p w:rsidR="000F2DB9" w:rsidRPr="002E3953" w:rsidRDefault="000F2DB9" w:rsidP="000F2DB9">
      <w:pPr>
        <w:rPr>
          <w:color w:val="auto"/>
        </w:rPr>
      </w:pPr>
      <w:r w:rsidRPr="002E3953">
        <w:rPr>
          <w:color w:val="auto"/>
        </w:rPr>
        <w:t>Pri provedbi ove aktivnosti potrebno je uzeti u obzir (između ostalih) sljedeće dokumente:</w:t>
      </w:r>
    </w:p>
    <w:p w:rsidR="000F2DB9" w:rsidRPr="002E3953" w:rsidRDefault="000F2DB9" w:rsidP="000F2DB9">
      <w:pPr>
        <w:rPr>
          <w:color w:val="auto"/>
        </w:rPr>
      </w:pPr>
    </w:p>
    <w:p w:rsidR="000F2DB9" w:rsidRPr="002E3953" w:rsidRDefault="000F2DB9" w:rsidP="000F2DB9">
      <w:pPr>
        <w:pStyle w:val="Odlomakpopisa"/>
        <w:numPr>
          <w:ilvl w:val="0"/>
          <w:numId w:val="41"/>
        </w:numPr>
        <w:ind w:left="709" w:hanging="425"/>
        <w:rPr>
          <w:color w:val="auto"/>
        </w:rPr>
      </w:pPr>
      <w:r w:rsidRPr="002E3953">
        <w:rPr>
          <w:color w:val="auto"/>
        </w:rPr>
        <w:t>Prijedlog uredbe Europskog parlamenta i Vijeća o uključivanju emisija i uklanjanja stakleničkih plinova iz korištenja zemljišta, prenamjene korištenja zemljišta i šumarstva u okvir za klimatsku i energetsku politiku do 2030. te o izmjeni Uredbe br. 525/2013 Europskog parlamenta i Vijeća o mehanizmu za praćenje i izvješćivanje o emisijama stakleničkih plinova i za izvješćivanje o drugim informacijama u vezi s klimatskim promjenama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ind w:left="709" w:hanging="425"/>
        <w:rPr>
          <w:color w:val="auto"/>
        </w:rPr>
      </w:pPr>
      <w:r w:rsidRPr="002E3953">
        <w:rPr>
          <w:color w:val="auto"/>
        </w:rPr>
        <w:t>Nacrt Niskougljične strategije Republike Hrvatske za razdoblje do 2030 godine s pogledom na 2050. godinu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ind w:left="709" w:hanging="425"/>
        <w:rPr>
          <w:color w:val="auto"/>
        </w:rPr>
      </w:pPr>
      <w:r w:rsidRPr="002E3953">
        <w:rPr>
          <w:color w:val="auto"/>
        </w:rPr>
        <w:t>Izvješće o inventaru stakleničkih plinova na području RH</w:t>
      </w:r>
      <w:r w:rsidRPr="00EB6C35">
        <w:rPr>
          <w:rStyle w:val="Referencafusnote"/>
          <w:color w:val="auto"/>
        </w:rPr>
        <w:footnoteReference w:id="1"/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ind w:left="709" w:hanging="425"/>
        <w:rPr>
          <w:color w:val="auto"/>
        </w:rPr>
      </w:pPr>
      <w:r w:rsidRPr="002E3953">
        <w:rPr>
          <w:color w:val="auto"/>
        </w:rPr>
        <w:t>Izvješće o projekcijama emisija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ind w:left="709" w:hanging="425"/>
        <w:rPr>
          <w:color w:val="auto"/>
        </w:rPr>
      </w:pPr>
      <w:r w:rsidRPr="002E3953">
        <w:rPr>
          <w:color w:val="auto"/>
        </w:rPr>
        <w:t>Izvješće o efektima politike i mjera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Prijedlog Uredbe o upravljanju energetskom unijom i klimatskom politikom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Prijedlog uredbe Europskog parlamenta i Vijeća o obvezujućem godišnjem smanjenju emisija stakleničkih plinova u državama članicama od 2021. do 2030. za otpornu energetsku uniju i ispunjenje obveza u okviru Pariškog sporazuma te o izmjeni Uredbe  br. 525/2013 Europskog parlamenta i Vijeća o mehanizmu za praćenje i izvješćivanje o emisijama stakleničkih plinova i za izvješćivanje o drugim informacijama u vezi s klimatskim promjenama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 xml:space="preserve">Zakon o potvrđivanju Okvirne konvencije Ujedinjenih naroda o promjeni klime (NN – MU 02/96); 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Zakon o potvrđivanju Kyotskog protokola uz Okvirnu konvenciju Ujedinjenih naroda o promjeni klime (NN –MU 05/07);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Zakon o potvrđivanju Izmjene iz Dohe Kyotskog protokola objavljen je u (NN-MU br. 6/15);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Zakon o potvrđivanju Pariškog sporazuma (NN-MU br. 3/17);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Zakon o zaštiti zraka (NN 130/11, 47/14, 61/17);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Uredba o praćenju stakleničkih plinova, politike i mjera za njihovo smanjenje u Republici Hrvatskoj (NN 05/17);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Smjernice za nacionalne inventare stakleničkih plinova Međuvladina panela za klimatske promjene (IPCC) iz 2006 (2006 IPCC GLs);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IPCC-ove revidirane dopunske metode i smjernice za dobru praksu iz 2013. na temelju Kyotskog protokola (KP Supplement);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 xml:space="preserve">Grassi, G., Pilli, R., 2017: Projecting the EU forest carbon net emissions in line with the “continuation of forest management”: the JRC method; 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Technical guidance on developing and reporting the Forest Reference Levels (u izradi), IIASA/ICF/Aether;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Smjernice UNFCCC-a za sastavljanje nacionalnih izvješća stranaka iz Priloga I. Konvenciji, I. dio: UNFCCC-ove smjernice za izvješćivanje o godišnjim inventarima kako su utvrđene Odlukom 24/CP.19 Konferencije stranaka UNFCCC-a;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Smjernice za pripremu podataka koji se zahtijevaju na temelju članka 7. Kyotskog protokola kako je donesen na Konferenciji stranaka UNFCCC-a koja služi kao sastanak stranaka Kyotskog protokola;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Uredba (EU) br. 525/2013 Europskoga parlamenta i Vijeća od 21. svibnja 2013. o mehanizmu za praćenje i izvješćivanje o emisijama stakleničkih plinova i za izvješćivanje o drugim informacijama u vezi klimatskih promjena na nacionalnoj razini i razini Unije te stavljanju izvan snage Odluke Komisije br. 280/2004/EZ (Tekst značajan za EGP) (SL L 165, 18. 6. 2013.) (u daljnjem tekstu: Uredba (EU) br. 525/2013);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Uredba (EU) br. 662/2014 Europskog parlamenta i Vijeća od 15. svibnja 2014. o izmjeni Uredbe (EU) br. 525/2013 s obzirom na tehničku provedbu Kyotskog protokola uz Okvirnu konvenciju Ujedinjenih naroda o promjeni klime;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Odluka 529/2013/EU Europskog parlamenta i Vijeća od 21. svibnja 2013. o pravilima za obračun emisija i uklanjanja stakleničkih plinova koji nastaju iz djelatnosti vezanih uz korištenje zemljišta, prenamjenu zemljišta i šumarstvo te informacijama o mjerama u vezi tih djelatnosti (SL L 165, 18. 6. 2013.) (u daljnjem tekstu: Odluka 529/2013/EU);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Delegirana uredba Komisije (EU) br. 666/2014 оd 12. ožujka 2014. o uspostavi materijalnih zahtjeva za sustav inventara Unije i uzimanju u obzir promjena potencijala globalnog zagrijavanja i međunarodno dogovorenih smjernica za inventare u skladu s Uredbom (EU) br. 525/2013 Europskog parlamenta i Vijeća;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Provedbena uredba Komisije (EU) br. 749/2014 оd 30. lipnja 2014. o strukturi, formatu, postupcima podnošenja i pregledu informacija koje države članice dostavljaju u skladu s Uredbom (EU) br. 525/2013 Europskog parlamenta i Vijeća;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Odluka br. 2/CMP.6 (Sporazum iz Cancuna: Korištenje zemljišta, prenamjena zemljišta i šumarstvo);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Odluka br. 2/CMP.7 (Korištenje zemljišta, prenamjena zemljišta i šumarstvo);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 xml:space="preserve">Odluka br. 2/CMP.8 (Prilog II, Informacije o korištenju zemljišta, prenamjeni zemljišta i šumarstvu vezano za članak 3. stavke 3. i 4. Kyotskog protokola vezano za godišnje inventare emisija stakleničkih plinova); 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Odluka br. 6/CMP.9 (Smjernice za izvješćivanje podataka o aktivnostima po članku 3., stavku 3. i 4. Kyotskog protokola);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rPr>
          <w:color w:val="auto"/>
        </w:rPr>
      </w:pPr>
      <w:r w:rsidRPr="002E3953">
        <w:rPr>
          <w:color w:val="auto"/>
        </w:rPr>
        <w:t>Odluka 24/CP.19 (Revizija UNFCCC-a smjernica za izvješćivanje o godišnjim inventarima za  stranke uključene u Prilog I Konvencije).</w:t>
      </w:r>
    </w:p>
    <w:p w:rsidR="000F2DB9" w:rsidRPr="002E3953" w:rsidRDefault="000F2DB9" w:rsidP="000F2DB9">
      <w:pPr>
        <w:pStyle w:val="Odlomakpopisa"/>
        <w:numPr>
          <w:ilvl w:val="0"/>
          <w:numId w:val="41"/>
        </w:numPr>
        <w:ind w:left="709" w:hanging="425"/>
        <w:rPr>
          <w:color w:val="auto"/>
        </w:rPr>
      </w:pPr>
      <w:r w:rsidRPr="002E3953">
        <w:rPr>
          <w:color w:val="auto"/>
        </w:rPr>
        <w:t>i druge relevantne dokumente.</w:t>
      </w:r>
    </w:p>
    <w:p w:rsidR="000F2DB9" w:rsidRPr="002E3953" w:rsidRDefault="000F2DB9" w:rsidP="0043592E">
      <w:pPr>
        <w:rPr>
          <w:color w:val="auto"/>
        </w:rPr>
      </w:pPr>
    </w:p>
    <w:p w:rsidR="00E1160A" w:rsidRPr="002E3953" w:rsidRDefault="004E106B" w:rsidP="003619D6">
      <w:pPr>
        <w:pStyle w:val="Naslov2"/>
        <w:rPr>
          <w:color w:val="auto"/>
        </w:rPr>
      </w:pPr>
      <w:bookmarkStart w:id="26" w:name="_Toc512519996"/>
      <w:bookmarkStart w:id="27" w:name="_Toc512520604"/>
      <w:bookmarkStart w:id="28" w:name="_Toc512520841"/>
      <w:bookmarkStart w:id="29" w:name="_Toc512520982"/>
      <w:r w:rsidRPr="002E3953">
        <w:rPr>
          <w:color w:val="auto"/>
        </w:rPr>
        <w:t>3.</w:t>
      </w:r>
      <w:r w:rsidR="00E521DC" w:rsidRPr="002E3953">
        <w:rPr>
          <w:color w:val="auto"/>
        </w:rPr>
        <w:t>4</w:t>
      </w:r>
      <w:r w:rsidRPr="002E3953">
        <w:rPr>
          <w:color w:val="auto"/>
        </w:rPr>
        <w:t>.</w:t>
      </w:r>
      <w:r w:rsidRPr="002E3953">
        <w:rPr>
          <w:color w:val="auto"/>
        </w:rPr>
        <w:tab/>
      </w:r>
      <w:r w:rsidR="003619D6" w:rsidRPr="002E3953">
        <w:rPr>
          <w:color w:val="auto"/>
        </w:rPr>
        <w:t>P</w:t>
      </w:r>
      <w:r w:rsidR="0061707A" w:rsidRPr="002E3953">
        <w:rPr>
          <w:color w:val="auto"/>
        </w:rPr>
        <w:t>rojektne aktivnosti</w:t>
      </w:r>
      <w:r w:rsidR="00FB590B" w:rsidRPr="002E3953">
        <w:rPr>
          <w:color w:val="auto"/>
        </w:rPr>
        <w:t xml:space="preserve"> i rezultati</w:t>
      </w:r>
      <w:bookmarkEnd w:id="26"/>
      <w:bookmarkEnd w:id="27"/>
      <w:bookmarkEnd w:id="28"/>
      <w:bookmarkEnd w:id="29"/>
    </w:p>
    <w:p w:rsidR="00273883" w:rsidRPr="002E3953" w:rsidRDefault="00273883" w:rsidP="0043592E">
      <w:pPr>
        <w:rPr>
          <w:color w:val="auto"/>
        </w:rPr>
      </w:pPr>
    </w:p>
    <w:p w:rsidR="009019E0" w:rsidRPr="002E3953" w:rsidRDefault="007F500A" w:rsidP="00E36554">
      <w:pPr>
        <w:tabs>
          <w:tab w:val="left" w:pos="1134"/>
        </w:tabs>
        <w:rPr>
          <w:color w:val="auto"/>
        </w:rPr>
      </w:pPr>
      <w:r w:rsidRPr="002E3953">
        <w:rPr>
          <w:b/>
          <w:color w:val="auto"/>
        </w:rPr>
        <w:t>3.4.</w:t>
      </w:r>
      <w:r w:rsidR="00D40357" w:rsidRPr="002E3953">
        <w:rPr>
          <w:b/>
          <w:color w:val="auto"/>
        </w:rPr>
        <w:t>1</w:t>
      </w:r>
      <w:r w:rsidR="000B0F7F" w:rsidRPr="002E3953">
        <w:rPr>
          <w:color w:val="auto"/>
        </w:rPr>
        <w:t>.</w:t>
      </w:r>
      <w:r w:rsidR="000B0F7F" w:rsidRPr="002E3953">
        <w:rPr>
          <w:color w:val="auto"/>
        </w:rPr>
        <w:tab/>
      </w:r>
      <w:r w:rsidR="003619D6" w:rsidRPr="002E3953">
        <w:rPr>
          <w:b/>
          <w:color w:val="auto"/>
        </w:rPr>
        <w:t>Analiza kvalitete podataka iz različitih izvora za izračun promjene zalihe ugljika u drvnim proizvodima</w:t>
      </w:r>
      <w:r w:rsidR="003619D6" w:rsidRPr="002E3953">
        <w:rPr>
          <w:color w:val="auto"/>
        </w:rPr>
        <w:t xml:space="preserve"> </w:t>
      </w:r>
    </w:p>
    <w:p w:rsidR="004D30A8" w:rsidRPr="002E3953" w:rsidRDefault="004D30A8" w:rsidP="0043592E">
      <w:pPr>
        <w:rPr>
          <w:color w:val="auto"/>
        </w:rPr>
      </w:pPr>
    </w:p>
    <w:p w:rsidR="000F2DB9" w:rsidRPr="002E3953" w:rsidRDefault="00941DDD" w:rsidP="000F2DB9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0F2DB9" w:rsidRPr="002E3953">
        <w:rPr>
          <w:color w:val="auto"/>
        </w:rPr>
        <w:t>1.1</w:t>
      </w:r>
      <w:r w:rsidR="000F2DB9" w:rsidRPr="002E3953">
        <w:rPr>
          <w:color w:val="auto"/>
        </w:rPr>
        <w:tab/>
        <w:t>Analiza podataka o proizvedenim, uvezenim</w:t>
      </w:r>
      <w:r w:rsidR="00FD4DF2" w:rsidRPr="002E3953">
        <w:rPr>
          <w:color w:val="auto"/>
        </w:rPr>
        <w:t xml:space="preserve"> i izvezenim vrstama drvnih proizv</w:t>
      </w:r>
      <w:r w:rsidR="000F2DB9" w:rsidRPr="002E3953">
        <w:rPr>
          <w:color w:val="auto"/>
        </w:rPr>
        <w:t>oda u periodu 1960 do danas Državnog zavoda za statistiku, Ministarstva poljoprivrede, FAO baze, poslovnih izviješća Hrvatskih šuma d.o.o. o proizvodnji drvnih sortimenata</w:t>
      </w:r>
    </w:p>
    <w:p w:rsidR="000F2DB9" w:rsidRPr="002E3953" w:rsidRDefault="00941DDD" w:rsidP="000F2DB9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0F2DB9" w:rsidRPr="002E3953">
        <w:rPr>
          <w:color w:val="auto"/>
        </w:rPr>
        <w:t>1.2</w:t>
      </w:r>
      <w:r w:rsidR="000F2DB9" w:rsidRPr="002E3953">
        <w:rPr>
          <w:color w:val="auto"/>
        </w:rPr>
        <w:tab/>
        <w:t xml:space="preserve">Prijedlog </w:t>
      </w:r>
      <w:r w:rsidR="00FD4DF2" w:rsidRPr="002E3953">
        <w:rPr>
          <w:color w:val="auto"/>
        </w:rPr>
        <w:t>rješenja u svezi razlike u podat</w:t>
      </w:r>
      <w:r w:rsidR="000F2DB9" w:rsidRPr="002E3953">
        <w:rPr>
          <w:color w:val="auto"/>
        </w:rPr>
        <w:t>cima pod točkom 1.1</w:t>
      </w:r>
    </w:p>
    <w:p w:rsidR="000F2DB9" w:rsidRPr="002E3953" w:rsidRDefault="00941DDD" w:rsidP="000F2DB9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0F2DB9" w:rsidRPr="002E3953">
        <w:rPr>
          <w:color w:val="auto"/>
        </w:rPr>
        <w:t>1.3</w:t>
      </w:r>
      <w:r w:rsidR="000F2DB9" w:rsidRPr="002E3953">
        <w:rPr>
          <w:color w:val="auto"/>
        </w:rPr>
        <w:tab/>
        <w:t>Izračun promjene zalihe ugljika u drvnim proizvodima uporabom Tier 1 i Tier 2 IPCC metode prema podatcima o količinama i vrsti drvnih proizvoda koji su utvrđeni u FRL projektu za period 1960 do danas</w:t>
      </w:r>
      <w:r w:rsidR="00FD4DF2" w:rsidRPr="002E3953">
        <w:rPr>
          <w:color w:val="auto"/>
        </w:rPr>
        <w:t>.</w:t>
      </w:r>
    </w:p>
    <w:p w:rsidR="000F2DB9" w:rsidRPr="002E3953" w:rsidRDefault="000F2DB9" w:rsidP="0043592E">
      <w:pPr>
        <w:ind w:firstLine="708"/>
        <w:rPr>
          <w:color w:val="auto"/>
        </w:rPr>
      </w:pPr>
    </w:p>
    <w:p w:rsidR="000F2DB9" w:rsidRPr="002E3953" w:rsidRDefault="00FB590B" w:rsidP="00FB590B">
      <w:pPr>
        <w:ind w:firstLine="708"/>
        <w:rPr>
          <w:b/>
          <w:color w:val="auto"/>
        </w:rPr>
      </w:pPr>
      <w:r w:rsidRPr="002E3953">
        <w:rPr>
          <w:b/>
          <w:color w:val="auto"/>
        </w:rPr>
        <w:t>Rezultat: Elaborat s analizom kvalitete podataka iz različitih izvora za izračun promjene zalihe ugljika u drvnim proizvodima</w:t>
      </w:r>
    </w:p>
    <w:p w:rsidR="00A97FAD" w:rsidRPr="002E3953" w:rsidRDefault="00A97FAD" w:rsidP="0043592E">
      <w:pPr>
        <w:rPr>
          <w:color w:val="auto"/>
        </w:rPr>
      </w:pPr>
    </w:p>
    <w:p w:rsidR="009019E0" w:rsidRPr="002E3953" w:rsidRDefault="007F500A" w:rsidP="00E36554">
      <w:pPr>
        <w:tabs>
          <w:tab w:val="left" w:pos="1134"/>
        </w:tabs>
        <w:rPr>
          <w:b/>
          <w:color w:val="auto"/>
        </w:rPr>
      </w:pPr>
      <w:r w:rsidRPr="002E3953">
        <w:rPr>
          <w:b/>
          <w:color w:val="auto"/>
        </w:rPr>
        <w:t>3.4.</w:t>
      </w:r>
      <w:r w:rsidR="00A23D68" w:rsidRPr="002E3953">
        <w:rPr>
          <w:b/>
          <w:color w:val="auto"/>
        </w:rPr>
        <w:t>2</w:t>
      </w:r>
      <w:r w:rsidR="00E36554" w:rsidRPr="002E3953">
        <w:rPr>
          <w:b/>
          <w:color w:val="auto"/>
        </w:rPr>
        <w:t>.</w:t>
      </w:r>
      <w:r w:rsidR="00E36554" w:rsidRPr="002E3953">
        <w:rPr>
          <w:color w:val="auto"/>
        </w:rPr>
        <w:tab/>
      </w:r>
      <w:r w:rsidR="004D30A8" w:rsidRPr="002E3953">
        <w:rPr>
          <w:b/>
          <w:color w:val="auto"/>
        </w:rPr>
        <w:t>Definiranje scenarija intenziteta gospodarenja šumama za FRL</w:t>
      </w:r>
    </w:p>
    <w:p w:rsidR="00DA6FA9" w:rsidRPr="002E3953" w:rsidRDefault="00DA6FA9" w:rsidP="0043592E">
      <w:pPr>
        <w:rPr>
          <w:color w:val="auto"/>
        </w:rPr>
      </w:pPr>
    </w:p>
    <w:p w:rsidR="000F2DB9" w:rsidRPr="002E3953" w:rsidRDefault="00B9376A" w:rsidP="00941DDD">
      <w:pPr>
        <w:ind w:firstLine="708"/>
        <w:rPr>
          <w:color w:val="auto"/>
        </w:rPr>
      </w:pPr>
      <w:r w:rsidRPr="002E3953">
        <w:rPr>
          <w:color w:val="auto"/>
        </w:rPr>
        <w:t>3.4.2</w:t>
      </w:r>
      <w:r w:rsidR="00941DDD" w:rsidRPr="002E3953">
        <w:rPr>
          <w:color w:val="auto"/>
        </w:rPr>
        <w:t xml:space="preserve">.1. </w:t>
      </w:r>
      <w:r w:rsidR="000F2DB9" w:rsidRPr="002E3953">
        <w:rPr>
          <w:color w:val="auto"/>
        </w:rPr>
        <w:t>Utvrđivanje optimalnog broja stratuma (grupe uređajnih razreda, načini gospodarenja, uzgojni oblici, dobni razredi) za definiranje FRL-a</w:t>
      </w:r>
    </w:p>
    <w:p w:rsidR="000F2DB9" w:rsidRPr="002E3953" w:rsidRDefault="00B9376A" w:rsidP="00941DDD">
      <w:pPr>
        <w:ind w:firstLine="708"/>
        <w:rPr>
          <w:color w:val="auto"/>
        </w:rPr>
      </w:pPr>
      <w:r w:rsidRPr="002E3953">
        <w:rPr>
          <w:color w:val="auto"/>
        </w:rPr>
        <w:t>3.4.2</w:t>
      </w:r>
      <w:r w:rsidR="00941DDD" w:rsidRPr="002E3953">
        <w:rPr>
          <w:color w:val="auto"/>
        </w:rPr>
        <w:t xml:space="preserve">.2. </w:t>
      </w:r>
      <w:r w:rsidR="000F2DB9" w:rsidRPr="002E3953">
        <w:rPr>
          <w:color w:val="auto"/>
        </w:rPr>
        <w:t>Izrada tabličnih prikaza površina, drvnih zaliha i prirasta po predviđenim stratumima posebno za referentno razdoblje (2000.-2009.), a posebno za razdoblje do 2017. godine</w:t>
      </w:r>
    </w:p>
    <w:p w:rsidR="000F2DB9" w:rsidRPr="002E3953" w:rsidRDefault="00B9376A" w:rsidP="00941DDD">
      <w:pPr>
        <w:ind w:firstLine="708"/>
        <w:rPr>
          <w:color w:val="auto"/>
        </w:rPr>
      </w:pPr>
      <w:r w:rsidRPr="002E3953">
        <w:rPr>
          <w:color w:val="auto"/>
        </w:rPr>
        <w:t>3.4.2</w:t>
      </w:r>
      <w:r w:rsidR="00941DDD" w:rsidRPr="002E3953">
        <w:rPr>
          <w:color w:val="auto"/>
        </w:rPr>
        <w:t xml:space="preserve">.3. </w:t>
      </w:r>
      <w:r w:rsidR="000F2DB9" w:rsidRPr="002E3953">
        <w:rPr>
          <w:color w:val="auto"/>
        </w:rPr>
        <w:t>Izrada projekcija razvoja drvne zalihe i prirasta za svaki pojedini stratum na temelju podataka Šumskogospodarske osnove područja 2016-2025., te na temelju procjene stanja drvne zalihe za 2017. godinu. – projekcija na temelju parametara ŠGOP-a, scenarij „business as usual“</w:t>
      </w:r>
    </w:p>
    <w:p w:rsidR="000F2DB9" w:rsidRPr="002E3953" w:rsidRDefault="00B9376A" w:rsidP="00941DDD">
      <w:pPr>
        <w:ind w:firstLine="708"/>
        <w:rPr>
          <w:color w:val="auto"/>
        </w:rPr>
      </w:pPr>
      <w:r w:rsidRPr="002E3953">
        <w:rPr>
          <w:color w:val="auto"/>
        </w:rPr>
        <w:t>3.4.2</w:t>
      </w:r>
      <w:r w:rsidR="00941DDD" w:rsidRPr="002E3953">
        <w:rPr>
          <w:color w:val="auto"/>
        </w:rPr>
        <w:t>.4.</w:t>
      </w:r>
      <w:r w:rsidR="00590999" w:rsidRPr="002E3953">
        <w:rPr>
          <w:color w:val="auto"/>
        </w:rPr>
        <w:t xml:space="preserve"> </w:t>
      </w:r>
      <w:r w:rsidR="000F2DB9" w:rsidRPr="002E3953">
        <w:rPr>
          <w:color w:val="auto"/>
        </w:rPr>
        <w:t>Izrada projekcija drvne zalihe i prirasta prema „kriznom“ scenariju gdje se predviđa pad prirasta u stratumima koji su zadnjih par godina jače pogođeni prirodnim nepogodama (štetnici, požari, utjecaj e</w:t>
      </w:r>
      <w:r w:rsidR="00B56DDA" w:rsidRPr="002E3953">
        <w:rPr>
          <w:color w:val="auto"/>
        </w:rPr>
        <w:t>kstremnih vremenskih neprilika,</w:t>
      </w:r>
      <w:r w:rsidR="000F2DB9" w:rsidRPr="002E3953">
        <w:rPr>
          <w:color w:val="auto"/>
        </w:rPr>
        <w:t xml:space="preserve"> hrast lužnjak, poljski jasen, smreka, alepski bor i dr.…)</w:t>
      </w:r>
    </w:p>
    <w:p w:rsidR="000F2DB9" w:rsidRPr="002E3953" w:rsidRDefault="00941DDD" w:rsidP="00941DDD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B9376A" w:rsidRPr="002E3953">
        <w:rPr>
          <w:color w:val="auto"/>
        </w:rPr>
        <w:t>2.</w:t>
      </w:r>
      <w:r w:rsidRPr="002E3953">
        <w:rPr>
          <w:color w:val="auto"/>
        </w:rPr>
        <w:t xml:space="preserve">5. </w:t>
      </w:r>
      <w:r w:rsidR="000F2DB9" w:rsidRPr="002E3953">
        <w:rPr>
          <w:color w:val="auto"/>
        </w:rPr>
        <w:t>Prikaz projekcija sječa prema ŠGOP-u 2016-2025</w:t>
      </w:r>
    </w:p>
    <w:p w:rsidR="004C2979" w:rsidRPr="002E3953" w:rsidRDefault="004C2979" w:rsidP="004C2979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B9376A" w:rsidRPr="002E3953">
        <w:rPr>
          <w:color w:val="auto"/>
        </w:rPr>
        <w:t>2.</w:t>
      </w:r>
      <w:r w:rsidRPr="002E3953">
        <w:rPr>
          <w:color w:val="auto"/>
        </w:rPr>
        <w:t>6. Analiza podataka gospodarenja šumama u referentnom razdoblju 2000.-2009. godina (analiza sječa prema vrsti prihoda i grupama uređajnih razreda)</w:t>
      </w:r>
    </w:p>
    <w:p w:rsidR="004C2979" w:rsidRPr="002E3953" w:rsidRDefault="00B9376A" w:rsidP="004C2979">
      <w:pPr>
        <w:ind w:firstLine="708"/>
        <w:rPr>
          <w:color w:val="auto"/>
        </w:rPr>
      </w:pPr>
      <w:r w:rsidRPr="002E3953">
        <w:rPr>
          <w:color w:val="auto"/>
        </w:rPr>
        <w:t>3.4.2</w:t>
      </w:r>
      <w:r w:rsidR="004C2979" w:rsidRPr="002E3953">
        <w:rPr>
          <w:color w:val="auto"/>
        </w:rPr>
        <w:t>.</w:t>
      </w:r>
      <w:r w:rsidR="00B56DDA" w:rsidRPr="002E3953">
        <w:rPr>
          <w:color w:val="auto"/>
        </w:rPr>
        <w:t>7</w:t>
      </w:r>
      <w:r w:rsidR="004C2979" w:rsidRPr="002E3953">
        <w:rPr>
          <w:color w:val="auto"/>
        </w:rPr>
        <w:t>. Usporedba glavnog prihoda regularnih šuma prema ŠGOP-u 2016-2025. s realiziranim glavnim prihodom u referentnom razdoblju</w:t>
      </w:r>
    </w:p>
    <w:p w:rsidR="004C2979" w:rsidRPr="002E3953" w:rsidRDefault="004C2979" w:rsidP="004C2979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B9376A" w:rsidRPr="002E3953">
        <w:rPr>
          <w:color w:val="auto"/>
        </w:rPr>
        <w:t>2.8</w:t>
      </w:r>
      <w:r w:rsidRPr="002E3953">
        <w:rPr>
          <w:color w:val="auto"/>
        </w:rPr>
        <w:t>. Usporedba opće osnove sječa prebornih i raznodobnih šuma ŠGOP-a 2016-2025. s realiziranim prihodom u referentom razdoblju</w:t>
      </w:r>
    </w:p>
    <w:p w:rsidR="004C2979" w:rsidRPr="002E3953" w:rsidRDefault="004C2979" w:rsidP="004C2979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B9376A" w:rsidRPr="002E3953">
        <w:rPr>
          <w:color w:val="auto"/>
        </w:rPr>
        <w:t>2.9</w:t>
      </w:r>
      <w:r w:rsidRPr="002E3953">
        <w:rPr>
          <w:color w:val="auto"/>
        </w:rPr>
        <w:t>. Usporedba prethodnog prihoda regularnih šuma ŠGOP-a 2016-2025 s realiziranim u referentnom razdoblju</w:t>
      </w:r>
    </w:p>
    <w:p w:rsidR="004C2979" w:rsidRPr="002E3953" w:rsidRDefault="004C2979" w:rsidP="00B9376A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B9376A" w:rsidRPr="002E3953">
        <w:rPr>
          <w:color w:val="auto"/>
        </w:rPr>
        <w:t>2.10</w:t>
      </w:r>
      <w:r w:rsidRPr="002E3953">
        <w:rPr>
          <w:color w:val="auto"/>
        </w:rPr>
        <w:t>. Usporedba svih vrsta prihoda regularnih, prebornih i raznodobnih šuma prijašnjih ŠGOP-ova (ŠGOP 1986-1995, ŠGOP 1996-2005, ŠGOP 2006-2015) s prihodima realiziranim u referentnom razdoblju</w:t>
      </w:r>
    </w:p>
    <w:p w:rsidR="004C2979" w:rsidRPr="002E3953" w:rsidRDefault="004C2979" w:rsidP="004C2979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B9376A" w:rsidRPr="002E3953">
        <w:rPr>
          <w:color w:val="auto"/>
        </w:rPr>
        <w:t>2.11</w:t>
      </w:r>
      <w:r w:rsidRPr="002E3953">
        <w:rPr>
          <w:color w:val="auto"/>
        </w:rPr>
        <w:t>.</w:t>
      </w:r>
      <w:r w:rsidRPr="002E3953">
        <w:rPr>
          <w:b/>
          <w:color w:val="auto"/>
        </w:rPr>
        <w:t xml:space="preserve"> </w:t>
      </w:r>
      <w:r w:rsidRPr="002E3953">
        <w:rPr>
          <w:color w:val="auto"/>
        </w:rPr>
        <w:t>Izrada kartografskih prikaza (područje okupacije, područje pod minama i područja nedostupnosti, područja s prekidom kontinuiteta uređivanja šuma, područja smanjenog intenziteta gospodarenja zbog neposredne ratne opasnosti)</w:t>
      </w:r>
    </w:p>
    <w:p w:rsidR="004C2979" w:rsidRPr="002E3953" w:rsidRDefault="004C2979" w:rsidP="004C2979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B9376A" w:rsidRPr="002E3953">
        <w:rPr>
          <w:color w:val="auto"/>
        </w:rPr>
        <w:t>2.12</w:t>
      </w:r>
      <w:r w:rsidRPr="002E3953">
        <w:rPr>
          <w:color w:val="auto"/>
        </w:rPr>
        <w:t>. Izrada tabličnih prikaza intenziteta gospodarenja, prosječno stanje za cijelo područje Republike Hrvatske, a posebno za područja koja su u neposrednoj prošlosti bila pod utjecajem ratnih okolnosti</w:t>
      </w:r>
    </w:p>
    <w:p w:rsidR="004C2979" w:rsidRPr="002E3953" w:rsidRDefault="004C2979" w:rsidP="004C2979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B9376A" w:rsidRPr="002E3953">
        <w:rPr>
          <w:color w:val="auto"/>
        </w:rPr>
        <w:t>2.13</w:t>
      </w:r>
      <w:r w:rsidRPr="002E3953">
        <w:rPr>
          <w:color w:val="auto"/>
        </w:rPr>
        <w:t>. Utvrđivanje socioloških, energetskih i dugih utjecaja na gospodarenje šumama u ratnom i poratnom razdoblju</w:t>
      </w:r>
    </w:p>
    <w:p w:rsidR="004C2979" w:rsidRPr="002E3953" w:rsidRDefault="004C2979" w:rsidP="007573C4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B9376A" w:rsidRPr="002E3953">
        <w:rPr>
          <w:color w:val="auto"/>
        </w:rPr>
        <w:t>2.14</w:t>
      </w:r>
      <w:r w:rsidRPr="002E3953">
        <w:rPr>
          <w:color w:val="auto"/>
        </w:rPr>
        <w:t>. Utvrđivanje utjecaja miniranih šumskih površina na gospodarenje šumama na odabranim lokacijama, što uključuje minirana područja i njima susjedne šumske površne (npr. nemogućnost izgradnje prometnica, izostanak gospodarenja privatnim šumama, udio ogrjevnog drva u ukupnoj potrošnji i dr</w:t>
      </w:r>
      <w:r w:rsidR="00404E93">
        <w:rPr>
          <w:color w:val="auto"/>
        </w:rPr>
        <w:t>.</w:t>
      </w:r>
      <w:r w:rsidRPr="002E3953">
        <w:rPr>
          <w:color w:val="auto"/>
        </w:rPr>
        <w:t xml:space="preserve">) </w:t>
      </w:r>
    </w:p>
    <w:p w:rsidR="004C2979" w:rsidRPr="002E3953" w:rsidRDefault="007573C4" w:rsidP="004C2979">
      <w:pPr>
        <w:ind w:firstLine="708"/>
        <w:rPr>
          <w:color w:val="auto"/>
        </w:rPr>
      </w:pPr>
      <w:r w:rsidRPr="002E3953">
        <w:rPr>
          <w:color w:val="auto"/>
        </w:rPr>
        <w:t>3.4.2</w:t>
      </w:r>
      <w:r w:rsidR="004C2979" w:rsidRPr="002E3953">
        <w:rPr>
          <w:color w:val="auto"/>
        </w:rPr>
        <w:t>.</w:t>
      </w:r>
      <w:r w:rsidRPr="002E3953">
        <w:rPr>
          <w:color w:val="auto"/>
        </w:rPr>
        <w:t>15</w:t>
      </w:r>
      <w:r w:rsidR="004C2979" w:rsidRPr="002E3953">
        <w:rPr>
          <w:color w:val="auto"/>
        </w:rPr>
        <w:t>. Izrada zaključaka za potrebe definiranja FRL-a temeljem provedbe usporedba pod točkama 3.</w:t>
      </w:r>
      <w:r w:rsidRPr="002E3953">
        <w:rPr>
          <w:color w:val="auto"/>
        </w:rPr>
        <w:t>4.2</w:t>
      </w:r>
      <w:r w:rsidR="004C2979" w:rsidRPr="002E3953">
        <w:rPr>
          <w:color w:val="auto"/>
        </w:rPr>
        <w:t>.1</w:t>
      </w:r>
      <w:r w:rsidR="002E3953">
        <w:rPr>
          <w:color w:val="auto"/>
        </w:rPr>
        <w:t>.</w:t>
      </w:r>
      <w:r w:rsidR="004C2979" w:rsidRPr="002E3953">
        <w:rPr>
          <w:color w:val="auto"/>
        </w:rPr>
        <w:t>-3.</w:t>
      </w:r>
      <w:r w:rsidRPr="002E3953">
        <w:rPr>
          <w:color w:val="auto"/>
        </w:rPr>
        <w:t>4.2.14</w:t>
      </w:r>
      <w:r w:rsidR="002E3953">
        <w:rPr>
          <w:color w:val="auto"/>
        </w:rPr>
        <w:t>.</w:t>
      </w:r>
    </w:p>
    <w:p w:rsidR="000F2DB9" w:rsidRPr="002E3953" w:rsidRDefault="000F2DB9" w:rsidP="00941DDD">
      <w:pPr>
        <w:ind w:firstLine="708"/>
        <w:rPr>
          <w:color w:val="auto"/>
        </w:rPr>
      </w:pPr>
    </w:p>
    <w:p w:rsidR="004D30A8" w:rsidRPr="002E3953" w:rsidRDefault="00FB590B" w:rsidP="00941DDD">
      <w:pPr>
        <w:ind w:firstLine="708"/>
        <w:rPr>
          <w:b/>
          <w:color w:val="auto"/>
        </w:rPr>
      </w:pPr>
      <w:r w:rsidRPr="002E3953">
        <w:rPr>
          <w:b/>
          <w:color w:val="auto"/>
        </w:rPr>
        <w:t>Rezultat: Elaborat s definiranim scenarijem intenziteta gospodarenja šumama za FRL</w:t>
      </w:r>
    </w:p>
    <w:p w:rsidR="00DD4952" w:rsidRPr="002E3953" w:rsidRDefault="00DD4952" w:rsidP="0043592E">
      <w:pPr>
        <w:pStyle w:val="Odlomakpopisa"/>
        <w:ind w:left="709"/>
        <w:rPr>
          <w:color w:val="auto"/>
        </w:rPr>
      </w:pPr>
    </w:p>
    <w:p w:rsidR="00965257" w:rsidRPr="002E3953" w:rsidRDefault="00965257" w:rsidP="0043592E">
      <w:pPr>
        <w:rPr>
          <w:color w:val="auto"/>
        </w:rPr>
      </w:pPr>
    </w:p>
    <w:p w:rsidR="009019E0" w:rsidRPr="002E3953" w:rsidRDefault="007F500A" w:rsidP="00E36554">
      <w:pPr>
        <w:tabs>
          <w:tab w:val="left" w:pos="1134"/>
        </w:tabs>
        <w:rPr>
          <w:b/>
          <w:color w:val="auto"/>
        </w:rPr>
      </w:pPr>
      <w:r w:rsidRPr="002E3953">
        <w:rPr>
          <w:b/>
          <w:color w:val="auto"/>
        </w:rPr>
        <w:t>3.4.</w:t>
      </w:r>
      <w:r w:rsidR="00590999" w:rsidRPr="002E3953">
        <w:rPr>
          <w:b/>
          <w:color w:val="auto"/>
        </w:rPr>
        <w:t>3</w:t>
      </w:r>
      <w:r w:rsidR="00E36554" w:rsidRPr="002E3953">
        <w:rPr>
          <w:color w:val="auto"/>
        </w:rPr>
        <w:t>.</w:t>
      </w:r>
      <w:r w:rsidR="00E36554" w:rsidRPr="002E3953">
        <w:rPr>
          <w:color w:val="auto"/>
        </w:rPr>
        <w:tab/>
      </w:r>
      <w:r w:rsidR="008C16DE" w:rsidRPr="002E3953">
        <w:rPr>
          <w:b/>
          <w:color w:val="auto"/>
        </w:rPr>
        <w:t xml:space="preserve">Izrada </w:t>
      </w:r>
      <w:r w:rsidR="004D30A8" w:rsidRPr="002E3953">
        <w:rPr>
          <w:b/>
          <w:color w:val="auto"/>
        </w:rPr>
        <w:t>Nacrt</w:t>
      </w:r>
      <w:r w:rsidR="008C16DE" w:rsidRPr="002E3953">
        <w:rPr>
          <w:b/>
          <w:color w:val="auto"/>
        </w:rPr>
        <w:t>a</w:t>
      </w:r>
      <w:r w:rsidR="004D30A8" w:rsidRPr="002E3953">
        <w:rPr>
          <w:b/>
          <w:color w:val="auto"/>
        </w:rPr>
        <w:t xml:space="preserve"> nacionalnog računskog plana za šumar</w:t>
      </w:r>
      <w:r w:rsidR="008C16DE" w:rsidRPr="002E3953">
        <w:rPr>
          <w:b/>
          <w:color w:val="auto"/>
        </w:rPr>
        <w:t xml:space="preserve">stvo, uključujući i predloženu </w:t>
      </w:r>
      <w:r w:rsidR="004D30A8" w:rsidRPr="002E3953">
        <w:rPr>
          <w:b/>
          <w:color w:val="auto"/>
        </w:rPr>
        <w:t>referentnu razinu za šume za razdoblje od 2021. do 2025.</w:t>
      </w:r>
    </w:p>
    <w:p w:rsidR="00DA6FA9" w:rsidRPr="002E3953" w:rsidRDefault="00DA6FA9" w:rsidP="0043592E">
      <w:pPr>
        <w:rPr>
          <w:color w:val="auto"/>
        </w:rPr>
      </w:pPr>
    </w:p>
    <w:p w:rsidR="008A50D9" w:rsidRPr="002E3953" w:rsidRDefault="00293F19" w:rsidP="00E36554">
      <w:pPr>
        <w:rPr>
          <w:color w:val="auto"/>
        </w:rPr>
      </w:pPr>
      <w:r w:rsidRPr="002E3953">
        <w:rPr>
          <w:color w:val="auto"/>
        </w:rPr>
        <w:t xml:space="preserve">Potrebno je izraditi </w:t>
      </w:r>
    </w:p>
    <w:p w:rsidR="007052A8" w:rsidRPr="002E3953" w:rsidRDefault="00941DDD" w:rsidP="007052A8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590999" w:rsidRPr="002E3953">
        <w:rPr>
          <w:color w:val="auto"/>
        </w:rPr>
        <w:t>3</w:t>
      </w:r>
      <w:r w:rsidR="007052A8" w:rsidRPr="002E3953">
        <w:rPr>
          <w:color w:val="auto"/>
        </w:rPr>
        <w:t>.1</w:t>
      </w:r>
      <w:r w:rsidR="00404E93">
        <w:rPr>
          <w:color w:val="auto"/>
        </w:rPr>
        <w:t xml:space="preserve">. </w:t>
      </w:r>
      <w:r w:rsidR="007052A8" w:rsidRPr="002E3953">
        <w:rPr>
          <w:color w:val="auto"/>
        </w:rPr>
        <w:t xml:space="preserve">Informacije u svezi provedenog konzultativnog procesa za razvoj FRL-a sa svim </w:t>
      </w:r>
      <w:r w:rsidR="007052A8" w:rsidRPr="002E3953">
        <w:rPr>
          <w:color w:val="auto"/>
        </w:rPr>
        <w:tab/>
      </w:r>
      <w:r w:rsidR="007052A8" w:rsidRPr="002E3953">
        <w:rPr>
          <w:color w:val="auto"/>
        </w:rPr>
        <w:tab/>
        <w:t>relevantnim stranama</w:t>
      </w:r>
    </w:p>
    <w:p w:rsidR="007052A8" w:rsidRPr="002E3953" w:rsidRDefault="00941DDD" w:rsidP="007052A8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590999" w:rsidRPr="002E3953">
        <w:rPr>
          <w:color w:val="auto"/>
        </w:rPr>
        <w:t>3</w:t>
      </w:r>
      <w:r w:rsidR="007052A8" w:rsidRPr="002E3953">
        <w:rPr>
          <w:color w:val="auto"/>
        </w:rPr>
        <w:t>.2</w:t>
      </w:r>
      <w:r w:rsidR="00404E93">
        <w:rPr>
          <w:color w:val="auto"/>
        </w:rPr>
        <w:t xml:space="preserve">. </w:t>
      </w:r>
      <w:r w:rsidR="007052A8" w:rsidRPr="002E3953">
        <w:rPr>
          <w:color w:val="auto"/>
        </w:rPr>
        <w:t xml:space="preserve">Izrada FRL-a, generalni opis konstrukcije, te opis kako su uzeti u obzir kriteriji </w:t>
      </w:r>
      <w:r w:rsidR="007052A8" w:rsidRPr="002E3953">
        <w:rPr>
          <w:color w:val="auto"/>
        </w:rPr>
        <w:tab/>
        <w:t xml:space="preserve">LULUCF uredbe prema aneksu IV.A - poseban osvrt na specifičnost RH (kako su uzeti u </w:t>
      </w:r>
      <w:r w:rsidR="007052A8" w:rsidRPr="002E3953">
        <w:rPr>
          <w:color w:val="auto"/>
        </w:rPr>
        <w:tab/>
        <w:t>obzir Recital 9 i Članak 8.3.)</w:t>
      </w:r>
    </w:p>
    <w:p w:rsidR="007052A8" w:rsidRPr="002E3953" w:rsidRDefault="00941DDD" w:rsidP="007052A8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590999" w:rsidRPr="002E3953">
        <w:rPr>
          <w:color w:val="auto"/>
        </w:rPr>
        <w:t>3</w:t>
      </w:r>
      <w:r w:rsidR="007052A8" w:rsidRPr="002E3953">
        <w:rPr>
          <w:color w:val="auto"/>
        </w:rPr>
        <w:t>.3</w:t>
      </w:r>
      <w:r w:rsidR="00404E93">
        <w:rPr>
          <w:color w:val="auto"/>
        </w:rPr>
        <w:t xml:space="preserve">. </w:t>
      </w:r>
      <w:r w:rsidR="007052A8" w:rsidRPr="002E3953">
        <w:rPr>
          <w:color w:val="auto"/>
        </w:rPr>
        <w:t>Identifikacija spremnika ugljika (Annex I.B) i stakleničkih plinova (Annex I.A.) koji su uključeni u referentnu razinu, razlozi za izostavljanje nekog od spremnika ugljika iz referentne razine šuma i prikaz da postoji konzistencija među spremnicima uključenih u referentnu razinu</w:t>
      </w:r>
    </w:p>
    <w:p w:rsidR="007052A8" w:rsidRPr="002E3953" w:rsidRDefault="00895057" w:rsidP="007052A8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590999" w:rsidRPr="002E3953">
        <w:rPr>
          <w:color w:val="auto"/>
        </w:rPr>
        <w:t>3</w:t>
      </w:r>
      <w:r w:rsidR="007052A8" w:rsidRPr="002E3953">
        <w:rPr>
          <w:color w:val="auto"/>
        </w:rPr>
        <w:t>.4</w:t>
      </w:r>
      <w:r w:rsidR="00404E93">
        <w:rPr>
          <w:color w:val="auto"/>
        </w:rPr>
        <w:t xml:space="preserve">. </w:t>
      </w:r>
      <w:r w:rsidR="007052A8" w:rsidRPr="002E3953">
        <w:rPr>
          <w:color w:val="auto"/>
        </w:rPr>
        <w:t>Opis pristupa, metoda i modela, uključujući kvantitativne podatke koji su se koristili u izgradnji referentne razine, u skladu s najnovijim nacionalnim izvješćem o inventaru (NIR 2018) i dokumentarnim informacijama o održivim praksama i intenzitetu gospodarenja šumama i usvojenim nacionalnim politikama (ŠGOP i dr.)</w:t>
      </w:r>
    </w:p>
    <w:p w:rsidR="007052A8" w:rsidRPr="002E3953" w:rsidRDefault="00895057" w:rsidP="007052A8">
      <w:pPr>
        <w:ind w:firstLine="708"/>
        <w:rPr>
          <w:color w:val="auto"/>
        </w:rPr>
      </w:pPr>
      <w:r w:rsidRPr="002E3953">
        <w:rPr>
          <w:color w:val="auto"/>
        </w:rPr>
        <w:t>3</w:t>
      </w:r>
      <w:r w:rsidR="00941DDD" w:rsidRPr="002E3953">
        <w:rPr>
          <w:color w:val="auto"/>
        </w:rPr>
        <w:t>.4.</w:t>
      </w:r>
      <w:r w:rsidR="00590999" w:rsidRPr="002E3953">
        <w:rPr>
          <w:color w:val="auto"/>
        </w:rPr>
        <w:t>3</w:t>
      </w:r>
      <w:r w:rsidR="007052A8" w:rsidRPr="002E3953">
        <w:rPr>
          <w:color w:val="auto"/>
        </w:rPr>
        <w:t>.5</w:t>
      </w:r>
      <w:r w:rsidR="00404E93">
        <w:rPr>
          <w:color w:val="auto"/>
        </w:rPr>
        <w:t xml:space="preserve">. </w:t>
      </w:r>
      <w:r w:rsidR="007052A8" w:rsidRPr="002E3953">
        <w:rPr>
          <w:color w:val="auto"/>
        </w:rPr>
        <w:t>Prikaz očekivanog razvoja intenziteta sječa prema različitim scenarijima</w:t>
      </w:r>
    </w:p>
    <w:p w:rsidR="00965257" w:rsidRPr="002E3953" w:rsidRDefault="00895057" w:rsidP="007052A8">
      <w:pPr>
        <w:ind w:firstLine="708"/>
        <w:rPr>
          <w:color w:val="auto"/>
        </w:rPr>
      </w:pPr>
      <w:r w:rsidRPr="002E3953">
        <w:rPr>
          <w:color w:val="auto"/>
        </w:rPr>
        <w:t>3.4.</w:t>
      </w:r>
      <w:r w:rsidR="00590999" w:rsidRPr="002E3953">
        <w:rPr>
          <w:color w:val="auto"/>
        </w:rPr>
        <w:t>3</w:t>
      </w:r>
      <w:r w:rsidR="007052A8" w:rsidRPr="002E3953">
        <w:rPr>
          <w:color w:val="auto"/>
        </w:rPr>
        <w:t>.6</w:t>
      </w:r>
      <w:r w:rsidR="00404E93">
        <w:rPr>
          <w:color w:val="auto"/>
        </w:rPr>
        <w:t xml:space="preserve">. </w:t>
      </w:r>
      <w:r w:rsidR="007052A8" w:rsidRPr="002E3953">
        <w:rPr>
          <w:color w:val="auto"/>
        </w:rPr>
        <w:t>Opis kako je svaki od sljedećih elemenata razmatran u izgradnji referentne razine: (1) Površina pod gospodarenjem šumama; (2) Emisije i uklanjanja iz šuma i dobivenih drvnih proizvoda kao što je prikazano u inventarima stakleničkih plinova i relevantnim povijesnim podacima; (3) Karakteristike šuma, uključujući obilježja šuma vezanih za dinamiku starosti, prirasta, dužinu ophodnje i druge informacije o aktivnostima gospodarenja šumama u okviru "business as usual"; (4) Povijesne i buduće količine sječe razvrstane na energetske i ne-energetske uporabe."</w:t>
      </w:r>
    </w:p>
    <w:p w:rsidR="00D00615" w:rsidRPr="002E3953" w:rsidRDefault="00D00615" w:rsidP="00E36554">
      <w:pPr>
        <w:rPr>
          <w:color w:val="auto"/>
        </w:rPr>
      </w:pPr>
    </w:p>
    <w:p w:rsidR="008C16DE" w:rsidRPr="002E3953" w:rsidRDefault="008C16DE" w:rsidP="00E36554">
      <w:pPr>
        <w:rPr>
          <w:b/>
          <w:color w:val="auto"/>
        </w:rPr>
      </w:pPr>
      <w:r w:rsidRPr="002E3953">
        <w:rPr>
          <w:color w:val="auto"/>
        </w:rPr>
        <w:tab/>
      </w:r>
      <w:r w:rsidRPr="002E3953">
        <w:rPr>
          <w:b/>
          <w:color w:val="auto"/>
        </w:rPr>
        <w:t xml:space="preserve">Rezultat: Nacrt nacionalnog računskog plana za šumarstvo, uključujući i predloženu </w:t>
      </w:r>
      <w:r w:rsidRPr="002E3953">
        <w:rPr>
          <w:b/>
          <w:color w:val="auto"/>
        </w:rPr>
        <w:tab/>
        <w:t>referentnu razinu za šume za razdoblje od 2021. do 2025.</w:t>
      </w:r>
    </w:p>
    <w:p w:rsidR="005470FB" w:rsidRPr="002E3953" w:rsidRDefault="005470FB" w:rsidP="0043592E">
      <w:pPr>
        <w:rPr>
          <w:color w:val="auto"/>
        </w:rPr>
      </w:pPr>
    </w:p>
    <w:p w:rsidR="009019E0" w:rsidRPr="002E3953" w:rsidRDefault="00590999" w:rsidP="00E36554">
      <w:pPr>
        <w:tabs>
          <w:tab w:val="left" w:pos="1134"/>
        </w:tabs>
        <w:rPr>
          <w:b/>
          <w:color w:val="auto"/>
        </w:rPr>
      </w:pPr>
      <w:r w:rsidRPr="002E3953">
        <w:rPr>
          <w:b/>
          <w:color w:val="auto"/>
        </w:rPr>
        <w:t>3.4.4</w:t>
      </w:r>
      <w:r w:rsidR="00E36554" w:rsidRPr="002E3953">
        <w:rPr>
          <w:b/>
          <w:color w:val="auto"/>
        </w:rPr>
        <w:t>.</w:t>
      </w:r>
      <w:r w:rsidR="00E36554" w:rsidRPr="002E3953">
        <w:rPr>
          <w:b/>
          <w:color w:val="auto"/>
        </w:rPr>
        <w:tab/>
      </w:r>
      <w:r w:rsidR="007F500A" w:rsidRPr="002E3953">
        <w:rPr>
          <w:b/>
          <w:color w:val="auto"/>
        </w:rPr>
        <w:t>P</w:t>
      </w:r>
      <w:r w:rsidR="004D3EAD" w:rsidRPr="002E3953">
        <w:rPr>
          <w:b/>
          <w:color w:val="auto"/>
        </w:rPr>
        <w:t xml:space="preserve">rezentiranje </w:t>
      </w:r>
      <w:r w:rsidR="009019E0" w:rsidRPr="002E3953">
        <w:rPr>
          <w:b/>
          <w:color w:val="auto"/>
        </w:rPr>
        <w:t>dokumenta</w:t>
      </w:r>
      <w:r w:rsidR="007F500A" w:rsidRPr="002E3953">
        <w:rPr>
          <w:b/>
          <w:color w:val="auto"/>
        </w:rPr>
        <w:t>, usuglašavanje s Europskom komisijom</w:t>
      </w:r>
    </w:p>
    <w:p w:rsidR="00DA6FA9" w:rsidRPr="002E3953" w:rsidRDefault="00DA6FA9" w:rsidP="0043592E">
      <w:pPr>
        <w:rPr>
          <w:color w:val="auto"/>
        </w:rPr>
      </w:pPr>
    </w:p>
    <w:p w:rsidR="009019E0" w:rsidRPr="002E3953" w:rsidRDefault="009019E0" w:rsidP="00E36554">
      <w:pPr>
        <w:rPr>
          <w:color w:val="auto"/>
        </w:rPr>
      </w:pPr>
      <w:r w:rsidRPr="002E3953">
        <w:rPr>
          <w:color w:val="auto"/>
        </w:rPr>
        <w:t xml:space="preserve">Potrebno je izraditi plan komuniciranja </w:t>
      </w:r>
      <w:r w:rsidR="00C965DE" w:rsidRPr="002E3953">
        <w:rPr>
          <w:color w:val="auto"/>
        </w:rPr>
        <w:t xml:space="preserve">Nacrta </w:t>
      </w:r>
      <w:r w:rsidR="00895057" w:rsidRPr="002E3953">
        <w:rPr>
          <w:color w:val="auto"/>
        </w:rPr>
        <w:t>nacionalnog računskog plana za šumarstvo, uključujući i predloženu referentnu razinu za šume za razdoblje od 2021. do 2025.</w:t>
      </w:r>
      <w:r w:rsidRPr="002E3953">
        <w:rPr>
          <w:color w:val="auto"/>
        </w:rPr>
        <w:t xml:space="preserve"> (</w:t>
      </w:r>
      <w:r w:rsidR="00895057" w:rsidRPr="002E3953">
        <w:rPr>
          <w:color w:val="auto"/>
        </w:rPr>
        <w:t xml:space="preserve">Povjerenstvo, stručnjaci TDU, </w:t>
      </w:r>
      <w:r w:rsidRPr="002E3953">
        <w:rPr>
          <w:color w:val="auto"/>
        </w:rPr>
        <w:t xml:space="preserve">donosioci odluka, </w:t>
      </w:r>
      <w:r w:rsidR="00255433" w:rsidRPr="002E3953">
        <w:rPr>
          <w:color w:val="auto"/>
        </w:rPr>
        <w:t>stručnjaci Europske komisije).</w:t>
      </w:r>
    </w:p>
    <w:p w:rsidR="00E36554" w:rsidRPr="002E3953" w:rsidRDefault="00E36554" w:rsidP="0043592E">
      <w:pPr>
        <w:rPr>
          <w:color w:val="auto"/>
        </w:rPr>
      </w:pPr>
    </w:p>
    <w:p w:rsidR="009019E0" w:rsidRPr="002E3953" w:rsidRDefault="009019E0" w:rsidP="0043592E">
      <w:pPr>
        <w:rPr>
          <w:color w:val="auto"/>
        </w:rPr>
      </w:pPr>
      <w:r w:rsidRPr="002E3953">
        <w:rPr>
          <w:color w:val="auto"/>
        </w:rPr>
        <w:t>Prezentiranje rezultata</w:t>
      </w:r>
      <w:r w:rsidR="00255433" w:rsidRPr="002E3953">
        <w:rPr>
          <w:color w:val="auto"/>
        </w:rPr>
        <w:t xml:space="preserve"> rada stručnoj i široj javnosti, </w:t>
      </w:r>
      <w:r w:rsidR="007D4553" w:rsidRPr="002E3953">
        <w:rPr>
          <w:color w:val="auto"/>
        </w:rPr>
        <w:t>2</w:t>
      </w:r>
      <w:r w:rsidRPr="002E3953">
        <w:rPr>
          <w:color w:val="auto"/>
        </w:rPr>
        <w:t xml:space="preserve"> puta u vremenu trajanja projekta. </w:t>
      </w:r>
    </w:p>
    <w:p w:rsidR="00E36554" w:rsidRPr="002E3953" w:rsidRDefault="00E36554" w:rsidP="00E36554">
      <w:pPr>
        <w:rPr>
          <w:color w:val="auto"/>
        </w:rPr>
      </w:pPr>
    </w:p>
    <w:p w:rsidR="008A50D9" w:rsidRPr="002E3953" w:rsidRDefault="009019E0" w:rsidP="00E36554">
      <w:pPr>
        <w:rPr>
          <w:color w:val="auto"/>
        </w:rPr>
      </w:pPr>
      <w:r w:rsidRPr="002E3953">
        <w:rPr>
          <w:color w:val="auto"/>
        </w:rPr>
        <w:t>Prikupljanje</w:t>
      </w:r>
      <w:r w:rsidR="00895057" w:rsidRPr="002E3953">
        <w:rPr>
          <w:color w:val="auto"/>
        </w:rPr>
        <w:t xml:space="preserve"> primjedbi/komentara na izrađeni Nacrt</w:t>
      </w:r>
      <w:r w:rsidRPr="002E3953">
        <w:rPr>
          <w:color w:val="auto"/>
        </w:rPr>
        <w:t xml:space="preserve"> </w:t>
      </w:r>
      <w:r w:rsidR="00895057" w:rsidRPr="002E3953">
        <w:rPr>
          <w:color w:val="auto"/>
        </w:rPr>
        <w:t xml:space="preserve">nacionalnog računskog plana za šumarstvo, uključujući i predloženu referentnu razinu za šume za razdoblje od 2021. do 2025. </w:t>
      </w:r>
      <w:r w:rsidR="00255433" w:rsidRPr="002E3953">
        <w:rPr>
          <w:color w:val="auto"/>
        </w:rPr>
        <w:t>te davanje obrazloženja na njih</w:t>
      </w:r>
      <w:r w:rsidRPr="002E3953">
        <w:rPr>
          <w:color w:val="auto"/>
        </w:rPr>
        <w:t>.</w:t>
      </w:r>
    </w:p>
    <w:p w:rsidR="00E36554" w:rsidRPr="002E3953" w:rsidRDefault="00E36554" w:rsidP="00E36554">
      <w:pPr>
        <w:rPr>
          <w:color w:val="auto"/>
        </w:rPr>
      </w:pPr>
    </w:p>
    <w:p w:rsidR="007155A1" w:rsidRPr="002E3953" w:rsidRDefault="008A50D9" w:rsidP="00E36554">
      <w:pPr>
        <w:rPr>
          <w:color w:val="auto"/>
        </w:rPr>
      </w:pPr>
      <w:r w:rsidRPr="002E3953">
        <w:rPr>
          <w:color w:val="auto"/>
        </w:rPr>
        <w:t>P</w:t>
      </w:r>
      <w:r w:rsidR="004D3EAD" w:rsidRPr="002E3953">
        <w:rPr>
          <w:color w:val="auto"/>
        </w:rPr>
        <w:t xml:space="preserve">otrebno je </w:t>
      </w:r>
      <w:r w:rsidR="009019E0" w:rsidRPr="002E3953">
        <w:rPr>
          <w:color w:val="auto"/>
        </w:rPr>
        <w:t>pružiti kompletnu podršku prema opisanoj organizacijskoj strukturi – pripremom za sve sastanke, radionice te razraditi i s naručiteljem usuglasiti metodu usvajanja primjedbi/komentara i davanja obrazloženja na njih.</w:t>
      </w:r>
    </w:p>
    <w:p w:rsidR="005470FB" w:rsidRPr="002E3953" w:rsidRDefault="005470FB" w:rsidP="0043592E">
      <w:pPr>
        <w:rPr>
          <w:color w:val="auto"/>
        </w:rPr>
      </w:pPr>
    </w:p>
    <w:p w:rsidR="008C16DE" w:rsidRPr="002E3953" w:rsidRDefault="008C16DE" w:rsidP="0043592E">
      <w:pPr>
        <w:rPr>
          <w:b/>
          <w:color w:val="auto"/>
        </w:rPr>
      </w:pPr>
      <w:r w:rsidRPr="002E3953">
        <w:rPr>
          <w:color w:val="auto"/>
        </w:rPr>
        <w:tab/>
      </w:r>
      <w:r w:rsidRPr="002E3953">
        <w:rPr>
          <w:b/>
          <w:color w:val="auto"/>
        </w:rPr>
        <w:t xml:space="preserve">Rezultat: Usuglašen Nacrt nacionalnog računskog plana za šumarstvo, uključujući i predloženu </w:t>
      </w:r>
      <w:r w:rsidRPr="002E3953">
        <w:rPr>
          <w:b/>
          <w:color w:val="auto"/>
        </w:rPr>
        <w:tab/>
        <w:t>referentnu razinu za šume za razdoblje od 2021. do 2025.</w:t>
      </w:r>
    </w:p>
    <w:p w:rsidR="008C16DE" w:rsidRPr="002E3953" w:rsidRDefault="008C16DE" w:rsidP="0043592E">
      <w:pPr>
        <w:rPr>
          <w:color w:val="auto"/>
        </w:rPr>
      </w:pPr>
    </w:p>
    <w:p w:rsidR="005C7B00" w:rsidRPr="002E3953" w:rsidRDefault="00A57BB3" w:rsidP="00E36554">
      <w:pPr>
        <w:tabs>
          <w:tab w:val="left" w:pos="1134"/>
        </w:tabs>
        <w:ind w:left="1134" w:hanging="1134"/>
        <w:rPr>
          <w:b/>
          <w:i/>
          <w:color w:val="auto"/>
        </w:rPr>
      </w:pPr>
      <w:r w:rsidRPr="002E3953">
        <w:rPr>
          <w:b/>
          <w:color w:val="auto"/>
        </w:rPr>
        <w:t>3.4.5</w:t>
      </w:r>
      <w:r w:rsidR="00E36554" w:rsidRPr="002E3953">
        <w:rPr>
          <w:b/>
          <w:color w:val="auto"/>
        </w:rPr>
        <w:t>.</w:t>
      </w:r>
      <w:r w:rsidR="00E36554" w:rsidRPr="002E3953">
        <w:rPr>
          <w:b/>
          <w:color w:val="auto"/>
        </w:rPr>
        <w:tab/>
      </w:r>
      <w:r w:rsidR="004D3EAD" w:rsidRPr="002E3953">
        <w:rPr>
          <w:b/>
          <w:color w:val="auto"/>
        </w:rPr>
        <w:t>Terminski plan</w:t>
      </w:r>
      <w:r w:rsidR="004D3EAD" w:rsidRPr="002E3953" w:rsidDel="009019E0">
        <w:rPr>
          <w:b/>
          <w:color w:val="auto"/>
        </w:rPr>
        <w:t xml:space="preserve"> </w:t>
      </w:r>
      <w:r w:rsidR="004D3EAD" w:rsidRPr="002E3953">
        <w:rPr>
          <w:b/>
          <w:color w:val="auto"/>
        </w:rPr>
        <w:t xml:space="preserve">izrade </w:t>
      </w:r>
      <w:r w:rsidR="007F500A" w:rsidRPr="002E3953">
        <w:rPr>
          <w:b/>
          <w:color w:val="auto"/>
        </w:rPr>
        <w:t>Nacrta nacionalnog računskog plana za šumarstvo, uključujući i predloženu referentnu razinu za šume za razdoblje od 2021. do 2025.</w:t>
      </w:r>
    </w:p>
    <w:p w:rsidR="00262077" w:rsidRPr="002E3953" w:rsidRDefault="00262077" w:rsidP="00262077">
      <w:pPr>
        <w:rPr>
          <w:i/>
          <w:color w:val="auto"/>
        </w:rPr>
      </w:pPr>
    </w:p>
    <w:p w:rsidR="00E521DC" w:rsidRPr="002E3953" w:rsidRDefault="001635C7" w:rsidP="00262077">
      <w:pPr>
        <w:rPr>
          <w:color w:val="auto"/>
        </w:rPr>
      </w:pPr>
      <w:r w:rsidRPr="002E3953">
        <w:rPr>
          <w:color w:val="auto"/>
        </w:rPr>
        <w:t>Razraditi detaljni termins</w:t>
      </w:r>
      <w:r w:rsidR="007F500A" w:rsidRPr="002E3953">
        <w:rPr>
          <w:color w:val="auto"/>
        </w:rPr>
        <w:t>ki plan i upravljanje zadatkom</w:t>
      </w:r>
      <w:r w:rsidR="00003C7C" w:rsidRPr="002E3953">
        <w:rPr>
          <w:color w:val="auto"/>
        </w:rPr>
        <w:t>.</w:t>
      </w:r>
    </w:p>
    <w:p w:rsidR="001635C7" w:rsidRPr="002E3953" w:rsidRDefault="009019E0" w:rsidP="0043592E">
      <w:pPr>
        <w:rPr>
          <w:color w:val="auto"/>
        </w:rPr>
      </w:pPr>
      <w:r w:rsidRPr="002E3953">
        <w:rPr>
          <w:color w:val="auto"/>
        </w:rPr>
        <w:t xml:space="preserve">Prije prelaska na konkretne aktivnosti vezane za izradu stručnih podloga za izradu </w:t>
      </w:r>
      <w:r w:rsidR="007F500A" w:rsidRPr="002E3953">
        <w:rPr>
          <w:color w:val="auto"/>
        </w:rPr>
        <w:t>Nacrta nacionalnog računskog plana za šumarstvo, uključujući i predloženu referentnu razinu za šume za razdoblje od 2021. do 2025.</w:t>
      </w:r>
      <w:r w:rsidRPr="002E3953">
        <w:rPr>
          <w:color w:val="auto"/>
        </w:rPr>
        <w:t xml:space="preserve"> potrebno je izraditi detaljno planiranje svih budućih koraka.</w:t>
      </w:r>
    </w:p>
    <w:p w:rsidR="00A41EB9" w:rsidRPr="00EB6C35" w:rsidRDefault="00A41EB9" w:rsidP="0043592E">
      <w:pPr>
        <w:rPr>
          <w:b/>
          <w:color w:val="auto"/>
        </w:rPr>
      </w:pPr>
    </w:p>
    <w:p w:rsidR="007611CB" w:rsidRPr="00404E93" w:rsidRDefault="00D229D0" w:rsidP="00404E93">
      <w:pPr>
        <w:pStyle w:val="Naslov1"/>
        <w:tabs>
          <w:tab w:val="left" w:pos="567"/>
        </w:tabs>
        <w:spacing w:before="0" w:after="0"/>
        <w:rPr>
          <w:rFonts w:cs="Times New Roman"/>
          <w:color w:val="auto"/>
          <w:sz w:val="24"/>
          <w:szCs w:val="24"/>
        </w:rPr>
      </w:pPr>
      <w:bookmarkStart w:id="30" w:name="_Toc512520605"/>
      <w:bookmarkStart w:id="31" w:name="_Toc512520842"/>
      <w:bookmarkStart w:id="32" w:name="_Toc512520983"/>
      <w:r w:rsidRPr="00404E93">
        <w:rPr>
          <w:rFonts w:cs="Times New Roman"/>
          <w:color w:val="auto"/>
          <w:sz w:val="24"/>
          <w:szCs w:val="24"/>
        </w:rPr>
        <w:t>4</w:t>
      </w:r>
      <w:r w:rsidR="00211177">
        <w:rPr>
          <w:rFonts w:cs="Times New Roman"/>
          <w:color w:val="auto"/>
          <w:sz w:val="24"/>
          <w:szCs w:val="24"/>
        </w:rPr>
        <w:t>.</w:t>
      </w:r>
      <w:r w:rsidR="00C87632">
        <w:rPr>
          <w:rFonts w:cs="Times New Roman"/>
          <w:color w:val="auto"/>
          <w:sz w:val="24"/>
          <w:szCs w:val="24"/>
        </w:rPr>
        <w:tab/>
      </w:r>
      <w:r w:rsidR="00C3236F" w:rsidRPr="00404E93">
        <w:rPr>
          <w:rFonts w:cs="Times New Roman"/>
          <w:color w:val="auto"/>
          <w:sz w:val="24"/>
          <w:szCs w:val="24"/>
        </w:rPr>
        <w:t>Rokovi i plaćanje</w:t>
      </w:r>
      <w:bookmarkEnd w:id="30"/>
      <w:bookmarkEnd w:id="31"/>
      <w:bookmarkEnd w:id="32"/>
      <w:r w:rsidR="00382E58">
        <w:rPr>
          <w:rFonts w:cs="Times New Roman"/>
          <w:color w:val="auto"/>
          <w:sz w:val="24"/>
          <w:szCs w:val="24"/>
        </w:rPr>
        <w:t xml:space="preserve"> </w:t>
      </w:r>
    </w:p>
    <w:p w:rsidR="00803C9E" w:rsidRPr="007561C5" w:rsidRDefault="00803C9E" w:rsidP="0043592E">
      <w:pPr>
        <w:rPr>
          <w:b/>
          <w:color w:val="auto"/>
        </w:rPr>
      </w:pPr>
    </w:p>
    <w:p w:rsidR="00803C9E" w:rsidRPr="007561C5" w:rsidRDefault="00803C9E" w:rsidP="00262077">
      <w:pPr>
        <w:rPr>
          <w:b/>
          <w:color w:val="auto"/>
        </w:rPr>
      </w:pPr>
      <w:r w:rsidRPr="007561C5">
        <w:rPr>
          <w:color w:val="auto"/>
        </w:rPr>
        <w:t>Ponuditelj je dužan osigurati završetak svih aktivnosti iz Projektnog zadatka i isporučiti traženu dokumentaciju kako slijedi:</w:t>
      </w:r>
    </w:p>
    <w:p w:rsidR="00895057" w:rsidRPr="007561C5" w:rsidRDefault="00895057" w:rsidP="00262077">
      <w:pPr>
        <w:tabs>
          <w:tab w:val="left" w:pos="567"/>
        </w:tabs>
        <w:rPr>
          <w:b/>
          <w:color w:val="auto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561C5" w:rsidRPr="007561C5" w:rsidTr="00D229D0">
        <w:tc>
          <w:tcPr>
            <w:tcW w:w="4927" w:type="dxa"/>
          </w:tcPr>
          <w:p w:rsidR="00D229D0" w:rsidRPr="007561C5" w:rsidRDefault="00D229D0" w:rsidP="00262077">
            <w:pPr>
              <w:tabs>
                <w:tab w:val="left" w:pos="567"/>
              </w:tabs>
              <w:rPr>
                <w:b/>
                <w:color w:val="auto"/>
              </w:rPr>
            </w:pPr>
            <w:r w:rsidRPr="007561C5">
              <w:rPr>
                <w:b/>
                <w:color w:val="auto"/>
              </w:rPr>
              <w:t>Naziv dokumenta</w:t>
            </w:r>
          </w:p>
        </w:tc>
        <w:tc>
          <w:tcPr>
            <w:tcW w:w="4928" w:type="dxa"/>
          </w:tcPr>
          <w:p w:rsidR="00D229D0" w:rsidRPr="007561C5" w:rsidRDefault="00D229D0" w:rsidP="00262077">
            <w:pPr>
              <w:tabs>
                <w:tab w:val="left" w:pos="567"/>
              </w:tabs>
              <w:rPr>
                <w:b/>
                <w:color w:val="auto"/>
              </w:rPr>
            </w:pPr>
            <w:r w:rsidRPr="007561C5">
              <w:rPr>
                <w:b/>
                <w:color w:val="auto"/>
              </w:rPr>
              <w:t>Rok isporuke</w:t>
            </w:r>
          </w:p>
        </w:tc>
      </w:tr>
      <w:tr w:rsidR="007561C5" w:rsidRPr="007561C5" w:rsidTr="00D229D0">
        <w:tc>
          <w:tcPr>
            <w:tcW w:w="4927" w:type="dxa"/>
          </w:tcPr>
          <w:p w:rsidR="00D229D0" w:rsidRPr="007561C5" w:rsidRDefault="00D229D0" w:rsidP="00262077">
            <w:pPr>
              <w:tabs>
                <w:tab w:val="left" w:pos="567"/>
              </w:tabs>
              <w:rPr>
                <w:b/>
                <w:color w:val="auto"/>
              </w:rPr>
            </w:pPr>
            <w:r w:rsidRPr="007561C5">
              <w:rPr>
                <w:b/>
                <w:color w:val="auto"/>
              </w:rPr>
              <w:t>1.</w:t>
            </w:r>
            <w:r w:rsidRPr="007561C5">
              <w:rPr>
                <w:color w:val="auto"/>
              </w:rPr>
              <w:t xml:space="preserve"> Elaborat s analizom kvalitete podataka iz različitih izvora za izračun promjene zalihe ugljika u drvnim proizvodima</w:t>
            </w:r>
          </w:p>
        </w:tc>
        <w:tc>
          <w:tcPr>
            <w:tcW w:w="4928" w:type="dxa"/>
          </w:tcPr>
          <w:p w:rsidR="00D229D0" w:rsidRPr="007561C5" w:rsidRDefault="00D229D0" w:rsidP="00262077">
            <w:pPr>
              <w:tabs>
                <w:tab w:val="left" w:pos="567"/>
              </w:tabs>
              <w:rPr>
                <w:color w:val="auto"/>
              </w:rPr>
            </w:pPr>
            <w:r w:rsidRPr="007561C5">
              <w:rPr>
                <w:color w:val="auto"/>
              </w:rPr>
              <w:t>60 dana od potpisivanja ugovora</w:t>
            </w:r>
          </w:p>
        </w:tc>
      </w:tr>
      <w:tr w:rsidR="007561C5" w:rsidRPr="007561C5" w:rsidTr="00D229D0">
        <w:tc>
          <w:tcPr>
            <w:tcW w:w="4927" w:type="dxa"/>
          </w:tcPr>
          <w:p w:rsidR="00D229D0" w:rsidRPr="007561C5" w:rsidRDefault="00D229D0" w:rsidP="00262077">
            <w:pPr>
              <w:tabs>
                <w:tab w:val="left" w:pos="567"/>
              </w:tabs>
              <w:rPr>
                <w:b/>
                <w:color w:val="auto"/>
              </w:rPr>
            </w:pPr>
            <w:r w:rsidRPr="007561C5">
              <w:rPr>
                <w:b/>
                <w:color w:val="auto"/>
              </w:rPr>
              <w:t>2.</w:t>
            </w:r>
            <w:r w:rsidRPr="007561C5">
              <w:rPr>
                <w:color w:val="auto"/>
              </w:rPr>
              <w:t xml:space="preserve"> Elaborat s definiranim scenarijem intenziteta gospodarenja šumama za FRL</w:t>
            </w:r>
          </w:p>
        </w:tc>
        <w:tc>
          <w:tcPr>
            <w:tcW w:w="4928" w:type="dxa"/>
          </w:tcPr>
          <w:p w:rsidR="00D229D0" w:rsidRPr="007561C5" w:rsidRDefault="00D229D0" w:rsidP="00262077">
            <w:pPr>
              <w:tabs>
                <w:tab w:val="left" w:pos="567"/>
              </w:tabs>
              <w:rPr>
                <w:color w:val="auto"/>
              </w:rPr>
            </w:pPr>
            <w:r w:rsidRPr="007561C5">
              <w:rPr>
                <w:color w:val="auto"/>
              </w:rPr>
              <w:t>105 dana od potpisivanja ugovora</w:t>
            </w:r>
          </w:p>
        </w:tc>
      </w:tr>
      <w:tr w:rsidR="007561C5" w:rsidRPr="007561C5" w:rsidTr="00D229D0">
        <w:tc>
          <w:tcPr>
            <w:tcW w:w="4927" w:type="dxa"/>
          </w:tcPr>
          <w:p w:rsidR="00D229D0" w:rsidRPr="007561C5" w:rsidRDefault="00D229D0" w:rsidP="00262077">
            <w:pPr>
              <w:tabs>
                <w:tab w:val="left" w:pos="567"/>
              </w:tabs>
              <w:rPr>
                <w:b/>
                <w:color w:val="auto"/>
              </w:rPr>
            </w:pPr>
            <w:r w:rsidRPr="00404E93">
              <w:rPr>
                <w:b/>
                <w:color w:val="auto"/>
              </w:rPr>
              <w:t>3.</w:t>
            </w:r>
            <w:r w:rsidRPr="007561C5">
              <w:rPr>
                <w:color w:val="auto"/>
              </w:rPr>
              <w:t xml:space="preserve"> Nacrt nacionalnog obračunskog plana za šumarstvo, uključujući i predloženu referentnu razinu za šume za razdoblje od 2021. do 2025.</w:t>
            </w:r>
          </w:p>
        </w:tc>
        <w:tc>
          <w:tcPr>
            <w:tcW w:w="4928" w:type="dxa"/>
          </w:tcPr>
          <w:p w:rsidR="00D229D0" w:rsidRPr="007561C5" w:rsidRDefault="00D229D0" w:rsidP="00262077">
            <w:pPr>
              <w:tabs>
                <w:tab w:val="left" w:pos="567"/>
              </w:tabs>
              <w:rPr>
                <w:color w:val="auto"/>
              </w:rPr>
            </w:pPr>
            <w:r w:rsidRPr="007561C5">
              <w:rPr>
                <w:color w:val="auto"/>
              </w:rPr>
              <w:t>150 dana od potpisivanja ugovora</w:t>
            </w:r>
          </w:p>
        </w:tc>
      </w:tr>
      <w:tr w:rsidR="007561C5" w:rsidRPr="007561C5" w:rsidTr="00D229D0">
        <w:tc>
          <w:tcPr>
            <w:tcW w:w="4927" w:type="dxa"/>
          </w:tcPr>
          <w:p w:rsidR="00D229D0" w:rsidRPr="005055A3" w:rsidRDefault="00D229D0" w:rsidP="005055A3">
            <w:pPr>
              <w:tabs>
                <w:tab w:val="left" w:pos="567"/>
              </w:tabs>
              <w:rPr>
                <w:b/>
                <w:color w:val="auto"/>
              </w:rPr>
            </w:pPr>
            <w:r w:rsidRPr="005055A3">
              <w:rPr>
                <w:b/>
                <w:color w:val="auto"/>
              </w:rPr>
              <w:t>4.</w:t>
            </w:r>
            <w:r w:rsidRPr="005055A3">
              <w:rPr>
                <w:color w:val="auto"/>
              </w:rPr>
              <w:t xml:space="preserve"> </w:t>
            </w:r>
            <w:r w:rsidR="004129E3" w:rsidRPr="005055A3">
              <w:rPr>
                <w:color w:val="auto"/>
              </w:rPr>
              <w:t>Usuglašavanje Nacrta nacionalnog obračunskog plana za šumarstvo, uključujući i predloženu referentnu razinu za šume za razdoblje od 2021. do 2025. prema zahtjevu Europske komisije do njegova konačnog prihvaćanja od strane Europske komisije</w:t>
            </w:r>
          </w:p>
        </w:tc>
        <w:tc>
          <w:tcPr>
            <w:tcW w:w="4928" w:type="dxa"/>
          </w:tcPr>
          <w:p w:rsidR="00D229D0" w:rsidRPr="007561C5" w:rsidRDefault="004129E3" w:rsidP="00262077">
            <w:pPr>
              <w:tabs>
                <w:tab w:val="left" w:pos="567"/>
              </w:tabs>
              <w:rPr>
                <w:color w:val="auto"/>
              </w:rPr>
            </w:pPr>
            <w:r w:rsidRPr="005055A3">
              <w:rPr>
                <w:color w:val="auto"/>
              </w:rPr>
              <w:t xml:space="preserve">maksimalno </w:t>
            </w:r>
            <w:r w:rsidR="00D229D0" w:rsidRPr="005055A3">
              <w:rPr>
                <w:color w:val="auto"/>
              </w:rPr>
              <w:t>600 dana od potpisivanja ugovora</w:t>
            </w:r>
          </w:p>
        </w:tc>
      </w:tr>
    </w:tbl>
    <w:p w:rsidR="00D229D0" w:rsidRPr="007561C5" w:rsidRDefault="00D229D0" w:rsidP="00262077">
      <w:pPr>
        <w:tabs>
          <w:tab w:val="left" w:pos="567"/>
        </w:tabs>
        <w:rPr>
          <w:b/>
          <w:color w:val="auto"/>
        </w:rPr>
      </w:pPr>
    </w:p>
    <w:p w:rsidR="000666A2" w:rsidRPr="005055A3" w:rsidRDefault="007561C5" w:rsidP="007561C5">
      <w:pPr>
        <w:rPr>
          <w:color w:val="auto"/>
        </w:rPr>
      </w:pPr>
      <w:r w:rsidRPr="007561C5">
        <w:rPr>
          <w:color w:val="auto"/>
        </w:rPr>
        <w:t>Prvo plaćanje će se izvršiti nakon isporuke elaborata broj 1. Drugo plaćanje će se izvršiti nakon isporuke elaborata broj 2</w:t>
      </w:r>
      <w:r w:rsidRPr="005055A3">
        <w:rPr>
          <w:color w:val="auto"/>
        </w:rPr>
        <w:t xml:space="preserve">. Treće plaćanje će se izvršiti nakon isporuke elaborata broj 3. </w:t>
      </w:r>
    </w:p>
    <w:p w:rsidR="007561C5" w:rsidRPr="005055A3" w:rsidRDefault="007561C5" w:rsidP="007561C5">
      <w:pPr>
        <w:rPr>
          <w:color w:val="auto"/>
        </w:rPr>
      </w:pPr>
      <w:r w:rsidRPr="005055A3">
        <w:rPr>
          <w:color w:val="auto"/>
        </w:rPr>
        <w:t xml:space="preserve">Plaćanja će se izvršiti </w:t>
      </w:r>
      <w:r w:rsidR="000666A2" w:rsidRPr="005055A3">
        <w:rPr>
          <w:color w:val="auto"/>
        </w:rPr>
        <w:t xml:space="preserve">po ispostavljenom računu </w:t>
      </w:r>
      <w:r w:rsidRPr="005055A3">
        <w:rPr>
          <w:color w:val="auto"/>
        </w:rPr>
        <w:t>u roku od 30 dana od</w:t>
      </w:r>
      <w:r w:rsidR="000666A2" w:rsidRPr="005055A3">
        <w:rPr>
          <w:color w:val="auto"/>
        </w:rPr>
        <w:t xml:space="preserve"> dana suglasnosti </w:t>
      </w:r>
      <w:r w:rsidRPr="005055A3">
        <w:rPr>
          <w:color w:val="auto"/>
        </w:rPr>
        <w:t>od strane Ministarst</w:t>
      </w:r>
      <w:r w:rsidR="000666A2" w:rsidRPr="005055A3">
        <w:rPr>
          <w:color w:val="auto"/>
        </w:rPr>
        <w:t>va zaštite okoliša i energetike na dostavljeni dokument.</w:t>
      </w:r>
      <w:bookmarkStart w:id="33" w:name="_GoBack"/>
      <w:bookmarkEnd w:id="33"/>
    </w:p>
    <w:p w:rsidR="00936C4D" w:rsidRDefault="007561C5" w:rsidP="00575547">
      <w:pPr>
        <w:tabs>
          <w:tab w:val="left" w:pos="567"/>
        </w:tabs>
        <w:rPr>
          <w:color w:val="auto"/>
        </w:rPr>
      </w:pPr>
      <w:r w:rsidRPr="007561C5">
        <w:rPr>
          <w:color w:val="auto"/>
        </w:rPr>
        <w:t xml:space="preserve">Posljednje plaćanje izvršiti će se po prihvaćanju Nacionalnog obračunskog plana za šumarstvo od strane Europske komisije, odnosno u roku od 30 dana </w:t>
      </w:r>
      <w:r>
        <w:rPr>
          <w:color w:val="auto"/>
        </w:rPr>
        <w:t>od</w:t>
      </w:r>
      <w:r w:rsidR="00946C0E">
        <w:rPr>
          <w:color w:val="auto"/>
        </w:rPr>
        <w:t xml:space="preserve"> konačnog roka od 6</w:t>
      </w:r>
      <w:r w:rsidR="00575547">
        <w:rPr>
          <w:color w:val="auto"/>
        </w:rPr>
        <w:t>00 dana od potpisivanja ugovora</w:t>
      </w:r>
    </w:p>
    <w:sectPr w:rsidR="00936C4D" w:rsidSect="006E33C6">
      <w:footerReference w:type="default" r:id="rId8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DD" w:rsidRDefault="00941DDD" w:rsidP="00E71FEA">
      <w:r>
        <w:separator/>
      </w:r>
    </w:p>
  </w:endnote>
  <w:endnote w:type="continuationSeparator" w:id="0">
    <w:p w:rsidR="00941DDD" w:rsidRDefault="00941DDD" w:rsidP="00E7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79014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3719F7" w:rsidRPr="002E3953" w:rsidRDefault="003719F7">
        <w:pPr>
          <w:pStyle w:val="Podnoje"/>
          <w:jc w:val="right"/>
          <w:rPr>
            <w:color w:val="auto"/>
          </w:rPr>
        </w:pPr>
        <w:r w:rsidRPr="002E3953">
          <w:rPr>
            <w:color w:val="auto"/>
          </w:rPr>
          <w:fldChar w:fldCharType="begin"/>
        </w:r>
        <w:r w:rsidRPr="002E3953">
          <w:rPr>
            <w:color w:val="auto"/>
          </w:rPr>
          <w:instrText>PAGE   \* MERGEFORMAT</w:instrText>
        </w:r>
        <w:r w:rsidRPr="002E3953">
          <w:rPr>
            <w:color w:val="auto"/>
          </w:rPr>
          <w:fldChar w:fldCharType="separate"/>
        </w:r>
        <w:r w:rsidR="005055A3">
          <w:rPr>
            <w:noProof/>
            <w:color w:val="auto"/>
          </w:rPr>
          <w:t>9</w:t>
        </w:r>
        <w:r w:rsidRPr="002E3953">
          <w:rPr>
            <w:color w:val="auto"/>
          </w:rPr>
          <w:fldChar w:fldCharType="end"/>
        </w:r>
      </w:p>
    </w:sdtContent>
  </w:sdt>
  <w:p w:rsidR="003719F7" w:rsidRPr="00EB6C35" w:rsidRDefault="003719F7">
    <w:pPr>
      <w:pStyle w:val="Podnoje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DD" w:rsidRDefault="00941DDD" w:rsidP="00E71FEA">
      <w:r>
        <w:separator/>
      </w:r>
    </w:p>
  </w:footnote>
  <w:footnote w:type="continuationSeparator" w:id="0">
    <w:p w:rsidR="00941DDD" w:rsidRDefault="00941DDD" w:rsidP="00E71FEA">
      <w:r>
        <w:continuationSeparator/>
      </w:r>
    </w:p>
  </w:footnote>
  <w:footnote w:id="1">
    <w:p w:rsidR="00941DDD" w:rsidRPr="00EB6C35" w:rsidRDefault="00941DDD" w:rsidP="000F2DB9">
      <w:pPr>
        <w:pStyle w:val="Tekstfusnote"/>
        <w:rPr>
          <w:color w:val="auto"/>
        </w:rPr>
      </w:pPr>
      <w:r w:rsidRPr="00EB6C35">
        <w:rPr>
          <w:rStyle w:val="Referencafusnote"/>
          <w:color w:val="auto"/>
        </w:rPr>
        <w:footnoteRef/>
      </w:r>
      <w:r w:rsidRPr="00EB6C35">
        <w:rPr>
          <w:color w:val="auto"/>
        </w:rPr>
        <w:t xml:space="preserve"> Izvješće o inventaru stakleničkih plinova na području RH, Hrvatska agencija za okoliš i prirodu, 2018.</w:t>
      </w:r>
    </w:p>
    <w:p w:rsidR="00941DDD" w:rsidRPr="00EB6C35" w:rsidRDefault="00941DDD" w:rsidP="000F2DB9">
      <w:pPr>
        <w:pStyle w:val="Tekstfusnote"/>
        <w:rPr>
          <w:color w:val="aut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4EEB"/>
    <w:multiLevelType w:val="hybridMultilevel"/>
    <w:tmpl w:val="26F4C028"/>
    <w:lvl w:ilvl="0" w:tplc="E982C884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0872E4F"/>
    <w:multiLevelType w:val="hybridMultilevel"/>
    <w:tmpl w:val="6840F8C8"/>
    <w:lvl w:ilvl="0" w:tplc="B40CC92E">
      <w:start w:val="1"/>
      <w:numFmt w:val="decimal"/>
      <w:lvlText w:val="2.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2F692B"/>
    <w:multiLevelType w:val="hybridMultilevel"/>
    <w:tmpl w:val="E25EE9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4C56"/>
    <w:multiLevelType w:val="hybridMultilevel"/>
    <w:tmpl w:val="3BB2A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2835"/>
    <w:multiLevelType w:val="hybridMultilevel"/>
    <w:tmpl w:val="544C44FE"/>
    <w:lvl w:ilvl="0" w:tplc="446C6824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348"/>
    <w:multiLevelType w:val="hybridMultilevel"/>
    <w:tmpl w:val="5A32B044"/>
    <w:lvl w:ilvl="0" w:tplc="8ADECE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35520A"/>
    <w:multiLevelType w:val="hybridMultilevel"/>
    <w:tmpl w:val="3BB2A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52B8"/>
    <w:multiLevelType w:val="hybridMultilevel"/>
    <w:tmpl w:val="27F2E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32DD2"/>
    <w:multiLevelType w:val="hybridMultilevel"/>
    <w:tmpl w:val="07A0C3E0"/>
    <w:lvl w:ilvl="0" w:tplc="446C6824">
      <w:numFmt w:val="bullet"/>
      <w:lvlText w:val="-"/>
      <w:lvlJc w:val="left"/>
      <w:pPr>
        <w:ind w:left="144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D2A2B"/>
    <w:multiLevelType w:val="hybridMultilevel"/>
    <w:tmpl w:val="DBAE4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C7E26"/>
    <w:multiLevelType w:val="hybridMultilevel"/>
    <w:tmpl w:val="7480ED84"/>
    <w:lvl w:ilvl="0" w:tplc="446C6824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48DF"/>
    <w:multiLevelType w:val="hybridMultilevel"/>
    <w:tmpl w:val="CB74C0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2DD6"/>
    <w:multiLevelType w:val="hybridMultilevel"/>
    <w:tmpl w:val="4FA6E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F4CF5"/>
    <w:multiLevelType w:val="hybridMultilevel"/>
    <w:tmpl w:val="01EAA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A31F8"/>
    <w:multiLevelType w:val="hybridMultilevel"/>
    <w:tmpl w:val="EC5E9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D5CB8"/>
    <w:multiLevelType w:val="hybridMultilevel"/>
    <w:tmpl w:val="1408F5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286299"/>
    <w:multiLevelType w:val="hybridMultilevel"/>
    <w:tmpl w:val="186AE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C71DD"/>
    <w:multiLevelType w:val="hybridMultilevel"/>
    <w:tmpl w:val="1AD60D18"/>
    <w:lvl w:ilvl="0" w:tplc="446C6824">
      <w:numFmt w:val="bullet"/>
      <w:lvlText w:val="-"/>
      <w:lvlJc w:val="left"/>
      <w:pPr>
        <w:ind w:left="787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36756B98"/>
    <w:multiLevelType w:val="hybridMultilevel"/>
    <w:tmpl w:val="D08AD006"/>
    <w:lvl w:ilvl="0" w:tplc="446C6824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3642B"/>
    <w:multiLevelType w:val="hybridMultilevel"/>
    <w:tmpl w:val="21007F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EC4287"/>
    <w:multiLevelType w:val="hybridMultilevel"/>
    <w:tmpl w:val="4F18C0AC"/>
    <w:lvl w:ilvl="0" w:tplc="EE027F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8176D"/>
    <w:multiLevelType w:val="hybridMultilevel"/>
    <w:tmpl w:val="3BB2A88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E0971"/>
    <w:multiLevelType w:val="hybridMultilevel"/>
    <w:tmpl w:val="D13C67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16D257B"/>
    <w:multiLevelType w:val="hybridMultilevel"/>
    <w:tmpl w:val="2BA023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D192B"/>
    <w:multiLevelType w:val="hybridMultilevel"/>
    <w:tmpl w:val="92F67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52FF5"/>
    <w:multiLevelType w:val="hybridMultilevel"/>
    <w:tmpl w:val="E56E32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F971A0"/>
    <w:multiLevelType w:val="hybridMultilevel"/>
    <w:tmpl w:val="CB4E2D0C"/>
    <w:lvl w:ilvl="0" w:tplc="9AD8E5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413BF"/>
    <w:multiLevelType w:val="hybridMultilevel"/>
    <w:tmpl w:val="952075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44041"/>
    <w:multiLevelType w:val="hybridMultilevel"/>
    <w:tmpl w:val="9594C65E"/>
    <w:lvl w:ilvl="0" w:tplc="446C6824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47B96"/>
    <w:multiLevelType w:val="hybridMultilevel"/>
    <w:tmpl w:val="E0C8F786"/>
    <w:lvl w:ilvl="0" w:tplc="446C6824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95200"/>
    <w:multiLevelType w:val="hybridMultilevel"/>
    <w:tmpl w:val="3A9E4826"/>
    <w:lvl w:ilvl="0" w:tplc="446C6824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3702A"/>
    <w:multiLevelType w:val="hybridMultilevel"/>
    <w:tmpl w:val="772675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652D6"/>
    <w:multiLevelType w:val="multilevel"/>
    <w:tmpl w:val="072802A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F35122"/>
    <w:multiLevelType w:val="hybridMultilevel"/>
    <w:tmpl w:val="B874D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03774"/>
    <w:multiLevelType w:val="hybridMultilevel"/>
    <w:tmpl w:val="3B629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74E62"/>
    <w:multiLevelType w:val="hybridMultilevel"/>
    <w:tmpl w:val="B2DC3EC2"/>
    <w:lvl w:ilvl="0" w:tplc="F65CEDB4">
      <w:start w:val="2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E22D2"/>
    <w:multiLevelType w:val="hybridMultilevel"/>
    <w:tmpl w:val="083671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674656"/>
    <w:multiLevelType w:val="hybridMultilevel"/>
    <w:tmpl w:val="3F447936"/>
    <w:lvl w:ilvl="0" w:tplc="041A000F">
      <w:start w:val="1"/>
      <w:numFmt w:val="decimal"/>
      <w:lvlText w:val="%1."/>
      <w:lvlJc w:val="left"/>
      <w:pPr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54FC2071"/>
    <w:multiLevelType w:val="hybridMultilevel"/>
    <w:tmpl w:val="8116AD5C"/>
    <w:lvl w:ilvl="0" w:tplc="446C6824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3D5FD1"/>
    <w:multiLevelType w:val="hybridMultilevel"/>
    <w:tmpl w:val="655E486C"/>
    <w:lvl w:ilvl="0" w:tplc="446C6824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942354"/>
    <w:multiLevelType w:val="hybridMultilevel"/>
    <w:tmpl w:val="146607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DD7935"/>
    <w:multiLevelType w:val="hybridMultilevel"/>
    <w:tmpl w:val="8E3287DC"/>
    <w:lvl w:ilvl="0" w:tplc="446C6824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60619D"/>
    <w:multiLevelType w:val="hybridMultilevel"/>
    <w:tmpl w:val="58B8EE3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4C46C8E"/>
    <w:multiLevelType w:val="hybridMultilevel"/>
    <w:tmpl w:val="A69634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F3A48"/>
    <w:multiLevelType w:val="hybridMultilevel"/>
    <w:tmpl w:val="2D1A84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962575"/>
    <w:multiLevelType w:val="hybridMultilevel"/>
    <w:tmpl w:val="3BB2A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07D67"/>
    <w:multiLevelType w:val="hybridMultilevel"/>
    <w:tmpl w:val="68F4E06C"/>
    <w:lvl w:ilvl="0" w:tplc="446C6824">
      <w:numFmt w:val="bullet"/>
      <w:lvlText w:val="-"/>
      <w:lvlJc w:val="left"/>
      <w:pPr>
        <w:ind w:left="144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F0848A0"/>
    <w:multiLevelType w:val="hybridMultilevel"/>
    <w:tmpl w:val="DF6CDA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5B4C60"/>
    <w:multiLevelType w:val="hybridMultilevel"/>
    <w:tmpl w:val="ABC41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0E51A2"/>
    <w:multiLevelType w:val="hybridMultilevel"/>
    <w:tmpl w:val="D6201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EA5961"/>
    <w:multiLevelType w:val="hybridMultilevel"/>
    <w:tmpl w:val="1806239C"/>
    <w:lvl w:ilvl="0" w:tplc="9D24E0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0D685D"/>
    <w:multiLevelType w:val="hybridMultilevel"/>
    <w:tmpl w:val="E5BABD96"/>
    <w:lvl w:ilvl="0" w:tplc="E00E3A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5E7C30"/>
    <w:multiLevelType w:val="hybridMultilevel"/>
    <w:tmpl w:val="40B4A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9964375"/>
    <w:multiLevelType w:val="hybridMultilevel"/>
    <w:tmpl w:val="4FB0750E"/>
    <w:lvl w:ilvl="0" w:tplc="446C6824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0427AE"/>
    <w:multiLevelType w:val="hybridMultilevel"/>
    <w:tmpl w:val="6E9CBEAC"/>
    <w:lvl w:ilvl="0" w:tplc="FB082F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CF64C5"/>
    <w:multiLevelType w:val="hybridMultilevel"/>
    <w:tmpl w:val="48FE97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76780C"/>
    <w:multiLevelType w:val="hybridMultilevel"/>
    <w:tmpl w:val="D8FA8188"/>
    <w:lvl w:ilvl="0" w:tplc="0E2ADD9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DA27CA2"/>
    <w:multiLevelType w:val="hybridMultilevel"/>
    <w:tmpl w:val="3BB2A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D075AD"/>
    <w:multiLevelType w:val="hybridMultilevel"/>
    <w:tmpl w:val="8E94424E"/>
    <w:lvl w:ilvl="0" w:tplc="2910BE52">
      <w:start w:val="1"/>
      <w:numFmt w:val="decimal"/>
      <w:lvlText w:val="3.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E3D3920"/>
    <w:multiLevelType w:val="hybridMultilevel"/>
    <w:tmpl w:val="8FF64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55"/>
  </w:num>
  <w:num w:numId="4">
    <w:abstractNumId w:val="12"/>
  </w:num>
  <w:num w:numId="5">
    <w:abstractNumId w:val="9"/>
  </w:num>
  <w:num w:numId="6">
    <w:abstractNumId w:val="11"/>
  </w:num>
  <w:num w:numId="7">
    <w:abstractNumId w:val="27"/>
  </w:num>
  <w:num w:numId="8">
    <w:abstractNumId w:val="10"/>
  </w:num>
  <w:num w:numId="9">
    <w:abstractNumId w:val="16"/>
  </w:num>
  <w:num w:numId="10">
    <w:abstractNumId w:val="3"/>
  </w:num>
  <w:num w:numId="11">
    <w:abstractNumId w:val="46"/>
  </w:num>
  <w:num w:numId="12">
    <w:abstractNumId w:val="8"/>
  </w:num>
  <w:num w:numId="13">
    <w:abstractNumId w:val="7"/>
  </w:num>
  <w:num w:numId="14">
    <w:abstractNumId w:val="24"/>
  </w:num>
  <w:num w:numId="15">
    <w:abstractNumId w:val="6"/>
  </w:num>
  <w:num w:numId="16">
    <w:abstractNumId w:val="57"/>
  </w:num>
  <w:num w:numId="17">
    <w:abstractNumId w:val="59"/>
  </w:num>
  <w:num w:numId="18">
    <w:abstractNumId w:val="19"/>
  </w:num>
  <w:num w:numId="19">
    <w:abstractNumId w:val="52"/>
  </w:num>
  <w:num w:numId="20">
    <w:abstractNumId w:val="17"/>
  </w:num>
  <w:num w:numId="21">
    <w:abstractNumId w:val="53"/>
  </w:num>
  <w:num w:numId="22">
    <w:abstractNumId w:val="41"/>
  </w:num>
  <w:num w:numId="23">
    <w:abstractNumId w:val="39"/>
  </w:num>
  <w:num w:numId="24">
    <w:abstractNumId w:val="4"/>
  </w:num>
  <w:num w:numId="25">
    <w:abstractNumId w:val="21"/>
  </w:num>
  <w:num w:numId="26">
    <w:abstractNumId w:val="34"/>
  </w:num>
  <w:num w:numId="27">
    <w:abstractNumId w:val="45"/>
  </w:num>
  <w:num w:numId="28">
    <w:abstractNumId w:val="50"/>
  </w:num>
  <w:num w:numId="29">
    <w:abstractNumId w:val="22"/>
  </w:num>
  <w:num w:numId="30">
    <w:abstractNumId w:val="49"/>
  </w:num>
  <w:num w:numId="31">
    <w:abstractNumId w:val="31"/>
  </w:num>
  <w:num w:numId="32">
    <w:abstractNumId w:val="33"/>
  </w:num>
  <w:num w:numId="33">
    <w:abstractNumId w:val="2"/>
  </w:num>
  <w:num w:numId="34">
    <w:abstractNumId w:val="40"/>
  </w:num>
  <w:num w:numId="35">
    <w:abstractNumId w:val="43"/>
  </w:num>
  <w:num w:numId="36">
    <w:abstractNumId w:val="48"/>
  </w:num>
  <w:num w:numId="37">
    <w:abstractNumId w:val="23"/>
  </w:num>
  <w:num w:numId="38">
    <w:abstractNumId w:val="14"/>
  </w:num>
  <w:num w:numId="39">
    <w:abstractNumId w:val="47"/>
  </w:num>
  <w:num w:numId="40">
    <w:abstractNumId w:val="18"/>
  </w:num>
  <w:num w:numId="41">
    <w:abstractNumId w:val="28"/>
  </w:num>
  <w:num w:numId="42">
    <w:abstractNumId w:val="30"/>
  </w:num>
  <w:num w:numId="43">
    <w:abstractNumId w:val="29"/>
  </w:num>
  <w:num w:numId="44">
    <w:abstractNumId w:val="38"/>
  </w:num>
  <w:num w:numId="45">
    <w:abstractNumId w:val="20"/>
  </w:num>
  <w:num w:numId="46">
    <w:abstractNumId w:val="51"/>
  </w:num>
  <w:num w:numId="47">
    <w:abstractNumId w:val="0"/>
  </w:num>
  <w:num w:numId="48">
    <w:abstractNumId w:val="56"/>
  </w:num>
  <w:num w:numId="49">
    <w:abstractNumId w:val="37"/>
  </w:num>
  <w:num w:numId="50">
    <w:abstractNumId w:val="25"/>
  </w:num>
  <w:num w:numId="51">
    <w:abstractNumId w:val="44"/>
  </w:num>
  <w:num w:numId="52">
    <w:abstractNumId w:val="32"/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</w:num>
  <w:num w:numId="55">
    <w:abstractNumId w:val="26"/>
  </w:num>
  <w:num w:numId="56">
    <w:abstractNumId w:val="1"/>
  </w:num>
  <w:num w:numId="57">
    <w:abstractNumId w:val="58"/>
  </w:num>
  <w:num w:numId="58">
    <w:abstractNumId w:val="35"/>
  </w:num>
  <w:num w:numId="59">
    <w:abstractNumId w:val="5"/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C8"/>
    <w:rsid w:val="00003C7C"/>
    <w:rsid w:val="000139A2"/>
    <w:rsid w:val="00013B16"/>
    <w:rsid w:val="00015C52"/>
    <w:rsid w:val="00024EE6"/>
    <w:rsid w:val="00025D95"/>
    <w:rsid w:val="000346DD"/>
    <w:rsid w:val="00045EBA"/>
    <w:rsid w:val="000665E8"/>
    <w:rsid w:val="000666A2"/>
    <w:rsid w:val="0006673A"/>
    <w:rsid w:val="00066752"/>
    <w:rsid w:val="00066D83"/>
    <w:rsid w:val="00071354"/>
    <w:rsid w:val="00071675"/>
    <w:rsid w:val="000759C8"/>
    <w:rsid w:val="000760DB"/>
    <w:rsid w:val="00080D98"/>
    <w:rsid w:val="00084BAA"/>
    <w:rsid w:val="00091FBD"/>
    <w:rsid w:val="00093C5C"/>
    <w:rsid w:val="000A13EA"/>
    <w:rsid w:val="000A4F13"/>
    <w:rsid w:val="000A625E"/>
    <w:rsid w:val="000B0F7F"/>
    <w:rsid w:val="000B41C0"/>
    <w:rsid w:val="000B52B4"/>
    <w:rsid w:val="000C0A11"/>
    <w:rsid w:val="000C2DE2"/>
    <w:rsid w:val="000C5ECB"/>
    <w:rsid w:val="000D1D47"/>
    <w:rsid w:val="000D3EB6"/>
    <w:rsid w:val="000D55CD"/>
    <w:rsid w:val="000D7386"/>
    <w:rsid w:val="000F2DB9"/>
    <w:rsid w:val="000F44F6"/>
    <w:rsid w:val="000F7F24"/>
    <w:rsid w:val="00106CB1"/>
    <w:rsid w:val="0011206A"/>
    <w:rsid w:val="00113C6E"/>
    <w:rsid w:val="001250CD"/>
    <w:rsid w:val="0012649A"/>
    <w:rsid w:val="00132BFB"/>
    <w:rsid w:val="0013627B"/>
    <w:rsid w:val="001442DD"/>
    <w:rsid w:val="00145734"/>
    <w:rsid w:val="00152625"/>
    <w:rsid w:val="00156270"/>
    <w:rsid w:val="00156321"/>
    <w:rsid w:val="00160651"/>
    <w:rsid w:val="00161EF4"/>
    <w:rsid w:val="001635C7"/>
    <w:rsid w:val="00164EB4"/>
    <w:rsid w:val="00166F6E"/>
    <w:rsid w:val="00171F14"/>
    <w:rsid w:val="001752D8"/>
    <w:rsid w:val="001767FD"/>
    <w:rsid w:val="00177AFA"/>
    <w:rsid w:val="001816FC"/>
    <w:rsid w:val="001859DB"/>
    <w:rsid w:val="00187BD7"/>
    <w:rsid w:val="00196BFA"/>
    <w:rsid w:val="001A190B"/>
    <w:rsid w:val="001A3497"/>
    <w:rsid w:val="001B119D"/>
    <w:rsid w:val="001B6010"/>
    <w:rsid w:val="001B64AB"/>
    <w:rsid w:val="001C09AB"/>
    <w:rsid w:val="001C32BD"/>
    <w:rsid w:val="001C4867"/>
    <w:rsid w:val="001D74F3"/>
    <w:rsid w:val="001E1270"/>
    <w:rsid w:val="001E6456"/>
    <w:rsid w:val="001E766B"/>
    <w:rsid w:val="001F0D5C"/>
    <w:rsid w:val="001F1887"/>
    <w:rsid w:val="001F6B50"/>
    <w:rsid w:val="002024D4"/>
    <w:rsid w:val="0020433B"/>
    <w:rsid w:val="00211177"/>
    <w:rsid w:val="00212D76"/>
    <w:rsid w:val="00216B99"/>
    <w:rsid w:val="0023508E"/>
    <w:rsid w:val="002351F9"/>
    <w:rsid w:val="00235D4D"/>
    <w:rsid w:val="00254BF4"/>
    <w:rsid w:val="00255433"/>
    <w:rsid w:val="0026145A"/>
    <w:rsid w:val="00262077"/>
    <w:rsid w:val="00263810"/>
    <w:rsid w:val="00263A51"/>
    <w:rsid w:val="00265A9F"/>
    <w:rsid w:val="00266333"/>
    <w:rsid w:val="00270CAF"/>
    <w:rsid w:val="00273883"/>
    <w:rsid w:val="00276622"/>
    <w:rsid w:val="00284376"/>
    <w:rsid w:val="002848C3"/>
    <w:rsid w:val="00293F19"/>
    <w:rsid w:val="00294C70"/>
    <w:rsid w:val="002A027D"/>
    <w:rsid w:val="002B0899"/>
    <w:rsid w:val="002B54C5"/>
    <w:rsid w:val="002B6855"/>
    <w:rsid w:val="002B722B"/>
    <w:rsid w:val="002C0670"/>
    <w:rsid w:val="002C5232"/>
    <w:rsid w:val="002D09C6"/>
    <w:rsid w:val="002D1B17"/>
    <w:rsid w:val="002D3EAA"/>
    <w:rsid w:val="002E3953"/>
    <w:rsid w:val="002F1AD4"/>
    <w:rsid w:val="00320DD2"/>
    <w:rsid w:val="00330DFF"/>
    <w:rsid w:val="00331D44"/>
    <w:rsid w:val="00331F91"/>
    <w:rsid w:val="00336414"/>
    <w:rsid w:val="003419F7"/>
    <w:rsid w:val="00345A21"/>
    <w:rsid w:val="00351EE9"/>
    <w:rsid w:val="00353C52"/>
    <w:rsid w:val="003619D6"/>
    <w:rsid w:val="003629DA"/>
    <w:rsid w:val="00363574"/>
    <w:rsid w:val="003719F7"/>
    <w:rsid w:val="00371D4F"/>
    <w:rsid w:val="00382E58"/>
    <w:rsid w:val="00391FF5"/>
    <w:rsid w:val="00392D8F"/>
    <w:rsid w:val="00395BBA"/>
    <w:rsid w:val="003A1B8C"/>
    <w:rsid w:val="003A6C49"/>
    <w:rsid w:val="003B1D82"/>
    <w:rsid w:val="003B5237"/>
    <w:rsid w:val="003C136B"/>
    <w:rsid w:val="003C1604"/>
    <w:rsid w:val="00400FE8"/>
    <w:rsid w:val="00404E93"/>
    <w:rsid w:val="0041264A"/>
    <w:rsid w:val="004129E3"/>
    <w:rsid w:val="004151C4"/>
    <w:rsid w:val="00417952"/>
    <w:rsid w:val="004220AB"/>
    <w:rsid w:val="0042331B"/>
    <w:rsid w:val="00423A9F"/>
    <w:rsid w:val="00431B4C"/>
    <w:rsid w:val="0043592E"/>
    <w:rsid w:val="00454168"/>
    <w:rsid w:val="00465DD8"/>
    <w:rsid w:val="00470049"/>
    <w:rsid w:val="004717C4"/>
    <w:rsid w:val="004750B0"/>
    <w:rsid w:val="00483E2C"/>
    <w:rsid w:val="00484900"/>
    <w:rsid w:val="00485645"/>
    <w:rsid w:val="004868D1"/>
    <w:rsid w:val="00490D0D"/>
    <w:rsid w:val="004937ED"/>
    <w:rsid w:val="00493CB0"/>
    <w:rsid w:val="004A15E7"/>
    <w:rsid w:val="004B06E0"/>
    <w:rsid w:val="004B30F0"/>
    <w:rsid w:val="004B5C4A"/>
    <w:rsid w:val="004C1233"/>
    <w:rsid w:val="004C2979"/>
    <w:rsid w:val="004D281E"/>
    <w:rsid w:val="004D30A8"/>
    <w:rsid w:val="004D3649"/>
    <w:rsid w:val="004D3EAD"/>
    <w:rsid w:val="004E106B"/>
    <w:rsid w:val="0050363A"/>
    <w:rsid w:val="005043AC"/>
    <w:rsid w:val="005055A3"/>
    <w:rsid w:val="00506791"/>
    <w:rsid w:val="00513C7B"/>
    <w:rsid w:val="00525C8A"/>
    <w:rsid w:val="00531BF8"/>
    <w:rsid w:val="00534667"/>
    <w:rsid w:val="00543E84"/>
    <w:rsid w:val="005451C8"/>
    <w:rsid w:val="005470FB"/>
    <w:rsid w:val="00550BA8"/>
    <w:rsid w:val="00570A3B"/>
    <w:rsid w:val="00575547"/>
    <w:rsid w:val="005760A8"/>
    <w:rsid w:val="00586D4F"/>
    <w:rsid w:val="0058722B"/>
    <w:rsid w:val="00590999"/>
    <w:rsid w:val="00591C74"/>
    <w:rsid w:val="00592F79"/>
    <w:rsid w:val="00593F2B"/>
    <w:rsid w:val="00594458"/>
    <w:rsid w:val="005A27E0"/>
    <w:rsid w:val="005A2B93"/>
    <w:rsid w:val="005A373D"/>
    <w:rsid w:val="005B18FC"/>
    <w:rsid w:val="005B2B5A"/>
    <w:rsid w:val="005C29D3"/>
    <w:rsid w:val="005C6417"/>
    <w:rsid w:val="005C7B00"/>
    <w:rsid w:val="005D20DA"/>
    <w:rsid w:val="005D332D"/>
    <w:rsid w:val="005D367A"/>
    <w:rsid w:val="005D4968"/>
    <w:rsid w:val="005E14F9"/>
    <w:rsid w:val="005E6DEC"/>
    <w:rsid w:val="005F1EC5"/>
    <w:rsid w:val="005F6A0C"/>
    <w:rsid w:val="00605B9E"/>
    <w:rsid w:val="00607B98"/>
    <w:rsid w:val="00612E2B"/>
    <w:rsid w:val="0061707A"/>
    <w:rsid w:val="0062190C"/>
    <w:rsid w:val="00623A9F"/>
    <w:rsid w:val="00623C6D"/>
    <w:rsid w:val="00623E98"/>
    <w:rsid w:val="006256B2"/>
    <w:rsid w:val="00626B32"/>
    <w:rsid w:val="006342FE"/>
    <w:rsid w:val="0064028B"/>
    <w:rsid w:val="00641938"/>
    <w:rsid w:val="00645AC6"/>
    <w:rsid w:val="006504C5"/>
    <w:rsid w:val="00657D09"/>
    <w:rsid w:val="0067233A"/>
    <w:rsid w:val="00672619"/>
    <w:rsid w:val="00676EBF"/>
    <w:rsid w:val="006A0CF8"/>
    <w:rsid w:val="006A1230"/>
    <w:rsid w:val="006A32B4"/>
    <w:rsid w:val="006A6A06"/>
    <w:rsid w:val="006B2BAE"/>
    <w:rsid w:val="006B2DBC"/>
    <w:rsid w:val="006B36F4"/>
    <w:rsid w:val="006B4457"/>
    <w:rsid w:val="006D311B"/>
    <w:rsid w:val="006E33C6"/>
    <w:rsid w:val="006E4F07"/>
    <w:rsid w:val="006F0738"/>
    <w:rsid w:val="006F5A04"/>
    <w:rsid w:val="00702149"/>
    <w:rsid w:val="007049A1"/>
    <w:rsid w:val="007052A8"/>
    <w:rsid w:val="007155A1"/>
    <w:rsid w:val="00715B44"/>
    <w:rsid w:val="007228D5"/>
    <w:rsid w:val="0073197E"/>
    <w:rsid w:val="00732BBF"/>
    <w:rsid w:val="007341F4"/>
    <w:rsid w:val="007362C5"/>
    <w:rsid w:val="00737FD4"/>
    <w:rsid w:val="00741D69"/>
    <w:rsid w:val="00744CEA"/>
    <w:rsid w:val="00745D02"/>
    <w:rsid w:val="0074785B"/>
    <w:rsid w:val="00754E29"/>
    <w:rsid w:val="007561C5"/>
    <w:rsid w:val="00756E19"/>
    <w:rsid w:val="007573C4"/>
    <w:rsid w:val="007611CB"/>
    <w:rsid w:val="00763F98"/>
    <w:rsid w:val="00767910"/>
    <w:rsid w:val="00771E02"/>
    <w:rsid w:val="00772B9D"/>
    <w:rsid w:val="00777BC7"/>
    <w:rsid w:val="007800BE"/>
    <w:rsid w:val="0078145E"/>
    <w:rsid w:val="00783F33"/>
    <w:rsid w:val="00784EA7"/>
    <w:rsid w:val="00787D4E"/>
    <w:rsid w:val="00790105"/>
    <w:rsid w:val="007A0F6B"/>
    <w:rsid w:val="007A10AE"/>
    <w:rsid w:val="007A66C9"/>
    <w:rsid w:val="007B4CDF"/>
    <w:rsid w:val="007B5C2F"/>
    <w:rsid w:val="007C3BA3"/>
    <w:rsid w:val="007D29EF"/>
    <w:rsid w:val="007D38EE"/>
    <w:rsid w:val="007D4553"/>
    <w:rsid w:val="007E4420"/>
    <w:rsid w:val="007E7C7F"/>
    <w:rsid w:val="007F500A"/>
    <w:rsid w:val="007F52AA"/>
    <w:rsid w:val="007F7A9C"/>
    <w:rsid w:val="0080168F"/>
    <w:rsid w:val="00803070"/>
    <w:rsid w:val="00803C9E"/>
    <w:rsid w:val="0080430C"/>
    <w:rsid w:val="0081024F"/>
    <w:rsid w:val="00810771"/>
    <w:rsid w:val="008150A3"/>
    <w:rsid w:val="0082157C"/>
    <w:rsid w:val="00822DB6"/>
    <w:rsid w:val="00823981"/>
    <w:rsid w:val="00826836"/>
    <w:rsid w:val="00832724"/>
    <w:rsid w:val="00836211"/>
    <w:rsid w:val="00841670"/>
    <w:rsid w:val="008418A1"/>
    <w:rsid w:val="0085697A"/>
    <w:rsid w:val="00861E85"/>
    <w:rsid w:val="00862ABD"/>
    <w:rsid w:val="00871BC1"/>
    <w:rsid w:val="008753DA"/>
    <w:rsid w:val="00884290"/>
    <w:rsid w:val="0088536C"/>
    <w:rsid w:val="00895057"/>
    <w:rsid w:val="00896B87"/>
    <w:rsid w:val="00897559"/>
    <w:rsid w:val="008A0EF5"/>
    <w:rsid w:val="008A50D9"/>
    <w:rsid w:val="008A624C"/>
    <w:rsid w:val="008B5004"/>
    <w:rsid w:val="008B62B9"/>
    <w:rsid w:val="008C16DE"/>
    <w:rsid w:val="008C4AEB"/>
    <w:rsid w:val="008D0597"/>
    <w:rsid w:val="008D5BFD"/>
    <w:rsid w:val="008E0F64"/>
    <w:rsid w:val="008E6FA5"/>
    <w:rsid w:val="008F4B3E"/>
    <w:rsid w:val="008F79E4"/>
    <w:rsid w:val="009019E0"/>
    <w:rsid w:val="00905635"/>
    <w:rsid w:val="009244C3"/>
    <w:rsid w:val="00925CEC"/>
    <w:rsid w:val="00930187"/>
    <w:rsid w:val="00930E1B"/>
    <w:rsid w:val="00936C4D"/>
    <w:rsid w:val="00936F05"/>
    <w:rsid w:val="009412CD"/>
    <w:rsid w:val="00941DDD"/>
    <w:rsid w:val="0094508E"/>
    <w:rsid w:val="00946C0E"/>
    <w:rsid w:val="009476B5"/>
    <w:rsid w:val="00947AF5"/>
    <w:rsid w:val="00952C19"/>
    <w:rsid w:val="0095596C"/>
    <w:rsid w:val="00961DEB"/>
    <w:rsid w:val="00965257"/>
    <w:rsid w:val="00965480"/>
    <w:rsid w:val="009655A5"/>
    <w:rsid w:val="00973AF3"/>
    <w:rsid w:val="009926B2"/>
    <w:rsid w:val="009944D5"/>
    <w:rsid w:val="009A0753"/>
    <w:rsid w:val="009A4881"/>
    <w:rsid w:val="009A587A"/>
    <w:rsid w:val="009B0439"/>
    <w:rsid w:val="009C0452"/>
    <w:rsid w:val="009C591A"/>
    <w:rsid w:val="009D2984"/>
    <w:rsid w:val="009E085C"/>
    <w:rsid w:val="009E6ABA"/>
    <w:rsid w:val="009E7C82"/>
    <w:rsid w:val="009F4AA4"/>
    <w:rsid w:val="00A0185E"/>
    <w:rsid w:val="00A01BA3"/>
    <w:rsid w:val="00A05302"/>
    <w:rsid w:val="00A06B4B"/>
    <w:rsid w:val="00A236D8"/>
    <w:rsid w:val="00A23D68"/>
    <w:rsid w:val="00A23EE3"/>
    <w:rsid w:val="00A24AA5"/>
    <w:rsid w:val="00A34E3B"/>
    <w:rsid w:val="00A41EB9"/>
    <w:rsid w:val="00A47415"/>
    <w:rsid w:val="00A57BB3"/>
    <w:rsid w:val="00A57F2B"/>
    <w:rsid w:val="00A60C66"/>
    <w:rsid w:val="00A64CAF"/>
    <w:rsid w:val="00A65055"/>
    <w:rsid w:val="00A76D7F"/>
    <w:rsid w:val="00A843DB"/>
    <w:rsid w:val="00A84F78"/>
    <w:rsid w:val="00A9720D"/>
    <w:rsid w:val="00A97FAD"/>
    <w:rsid w:val="00AA153E"/>
    <w:rsid w:val="00AA2B00"/>
    <w:rsid w:val="00AB29C7"/>
    <w:rsid w:val="00AB2C4C"/>
    <w:rsid w:val="00AB49BA"/>
    <w:rsid w:val="00AB7565"/>
    <w:rsid w:val="00AC1B89"/>
    <w:rsid w:val="00AC2A1A"/>
    <w:rsid w:val="00AC354F"/>
    <w:rsid w:val="00AD5F61"/>
    <w:rsid w:val="00AE03C2"/>
    <w:rsid w:val="00B01A71"/>
    <w:rsid w:val="00B07D25"/>
    <w:rsid w:val="00B1235F"/>
    <w:rsid w:val="00B135F6"/>
    <w:rsid w:val="00B14F3D"/>
    <w:rsid w:val="00B3567A"/>
    <w:rsid w:val="00B40AD9"/>
    <w:rsid w:val="00B475AC"/>
    <w:rsid w:val="00B51078"/>
    <w:rsid w:val="00B5237F"/>
    <w:rsid w:val="00B54B3F"/>
    <w:rsid w:val="00B56807"/>
    <w:rsid w:val="00B56DDA"/>
    <w:rsid w:val="00B802B4"/>
    <w:rsid w:val="00B87DE1"/>
    <w:rsid w:val="00B91507"/>
    <w:rsid w:val="00B9376A"/>
    <w:rsid w:val="00B94CB7"/>
    <w:rsid w:val="00BA0E60"/>
    <w:rsid w:val="00BA2927"/>
    <w:rsid w:val="00BA7C17"/>
    <w:rsid w:val="00BB4FCD"/>
    <w:rsid w:val="00BB645F"/>
    <w:rsid w:val="00BC2888"/>
    <w:rsid w:val="00BD7609"/>
    <w:rsid w:val="00BE63D9"/>
    <w:rsid w:val="00C01EC2"/>
    <w:rsid w:val="00C102ED"/>
    <w:rsid w:val="00C12C6F"/>
    <w:rsid w:val="00C230C8"/>
    <w:rsid w:val="00C278EF"/>
    <w:rsid w:val="00C3236F"/>
    <w:rsid w:val="00C34F61"/>
    <w:rsid w:val="00C43368"/>
    <w:rsid w:val="00C4358D"/>
    <w:rsid w:val="00C50B9A"/>
    <w:rsid w:val="00C50DEB"/>
    <w:rsid w:val="00C55612"/>
    <w:rsid w:val="00C55EED"/>
    <w:rsid w:val="00C610B1"/>
    <w:rsid w:val="00C65E82"/>
    <w:rsid w:val="00C74855"/>
    <w:rsid w:val="00C81E1A"/>
    <w:rsid w:val="00C87632"/>
    <w:rsid w:val="00C951D9"/>
    <w:rsid w:val="00C95554"/>
    <w:rsid w:val="00C965DE"/>
    <w:rsid w:val="00CA0F2C"/>
    <w:rsid w:val="00CB0F01"/>
    <w:rsid w:val="00CC316C"/>
    <w:rsid w:val="00CC6FE9"/>
    <w:rsid w:val="00CC7B03"/>
    <w:rsid w:val="00CD14AE"/>
    <w:rsid w:val="00CD2731"/>
    <w:rsid w:val="00CD316A"/>
    <w:rsid w:val="00CD37E9"/>
    <w:rsid w:val="00CD3D02"/>
    <w:rsid w:val="00CD5AA4"/>
    <w:rsid w:val="00CF72A4"/>
    <w:rsid w:val="00D00615"/>
    <w:rsid w:val="00D04815"/>
    <w:rsid w:val="00D2085E"/>
    <w:rsid w:val="00D22059"/>
    <w:rsid w:val="00D229D0"/>
    <w:rsid w:val="00D36DA4"/>
    <w:rsid w:val="00D401F6"/>
    <w:rsid w:val="00D40357"/>
    <w:rsid w:val="00D435D7"/>
    <w:rsid w:val="00D45303"/>
    <w:rsid w:val="00D4759A"/>
    <w:rsid w:val="00D50288"/>
    <w:rsid w:val="00D674B1"/>
    <w:rsid w:val="00D75D2F"/>
    <w:rsid w:val="00D8355D"/>
    <w:rsid w:val="00DA30D3"/>
    <w:rsid w:val="00DA39EB"/>
    <w:rsid w:val="00DA6264"/>
    <w:rsid w:val="00DA6FA9"/>
    <w:rsid w:val="00DC1723"/>
    <w:rsid w:val="00DD378A"/>
    <w:rsid w:val="00DD4952"/>
    <w:rsid w:val="00DE2C7D"/>
    <w:rsid w:val="00DE52CA"/>
    <w:rsid w:val="00E0028D"/>
    <w:rsid w:val="00E034D7"/>
    <w:rsid w:val="00E1160A"/>
    <w:rsid w:val="00E11A30"/>
    <w:rsid w:val="00E11C49"/>
    <w:rsid w:val="00E153C6"/>
    <w:rsid w:val="00E22A98"/>
    <w:rsid w:val="00E2476E"/>
    <w:rsid w:val="00E27942"/>
    <w:rsid w:val="00E34FE6"/>
    <w:rsid w:val="00E36554"/>
    <w:rsid w:val="00E45141"/>
    <w:rsid w:val="00E45F66"/>
    <w:rsid w:val="00E46246"/>
    <w:rsid w:val="00E46701"/>
    <w:rsid w:val="00E46735"/>
    <w:rsid w:val="00E521A6"/>
    <w:rsid w:val="00E521DC"/>
    <w:rsid w:val="00E557AB"/>
    <w:rsid w:val="00E61F56"/>
    <w:rsid w:val="00E71FEA"/>
    <w:rsid w:val="00E736E7"/>
    <w:rsid w:val="00E8177A"/>
    <w:rsid w:val="00E81A62"/>
    <w:rsid w:val="00E90EB8"/>
    <w:rsid w:val="00E9442A"/>
    <w:rsid w:val="00E9580A"/>
    <w:rsid w:val="00E97B3E"/>
    <w:rsid w:val="00EA2A65"/>
    <w:rsid w:val="00EA4BF3"/>
    <w:rsid w:val="00EA4E48"/>
    <w:rsid w:val="00EA5321"/>
    <w:rsid w:val="00EA7EAD"/>
    <w:rsid w:val="00EB4423"/>
    <w:rsid w:val="00EB6C35"/>
    <w:rsid w:val="00ED42BD"/>
    <w:rsid w:val="00ED5493"/>
    <w:rsid w:val="00ED61D9"/>
    <w:rsid w:val="00ED7593"/>
    <w:rsid w:val="00EF3FBF"/>
    <w:rsid w:val="00EF597A"/>
    <w:rsid w:val="00EF7CE1"/>
    <w:rsid w:val="00F0555F"/>
    <w:rsid w:val="00F116E8"/>
    <w:rsid w:val="00F123A6"/>
    <w:rsid w:val="00F127C9"/>
    <w:rsid w:val="00F1460F"/>
    <w:rsid w:val="00F229C9"/>
    <w:rsid w:val="00F234BF"/>
    <w:rsid w:val="00F24619"/>
    <w:rsid w:val="00F25052"/>
    <w:rsid w:val="00F269A0"/>
    <w:rsid w:val="00F27F0D"/>
    <w:rsid w:val="00F370F4"/>
    <w:rsid w:val="00F61D93"/>
    <w:rsid w:val="00F63984"/>
    <w:rsid w:val="00F91C34"/>
    <w:rsid w:val="00FA6331"/>
    <w:rsid w:val="00FB143A"/>
    <w:rsid w:val="00FB590B"/>
    <w:rsid w:val="00FC08B0"/>
    <w:rsid w:val="00FC2F58"/>
    <w:rsid w:val="00FC7B51"/>
    <w:rsid w:val="00FD4DF2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109FA-1C0A-44A5-AA36-361CFA33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8D"/>
    <w:pPr>
      <w:jc w:val="both"/>
    </w:pPr>
  </w:style>
  <w:style w:type="paragraph" w:styleId="Naslov1">
    <w:name w:val="heading 1"/>
    <w:basedOn w:val="Normal"/>
    <w:next w:val="Normal"/>
    <w:link w:val="Naslov1Char"/>
    <w:qFormat/>
    <w:rsid w:val="00404E93"/>
    <w:pPr>
      <w:keepNext/>
      <w:spacing w:before="240" w:after="60"/>
      <w:outlineLvl w:val="0"/>
    </w:pPr>
    <w:rPr>
      <w:rFonts w:cs="Arial"/>
      <w:b/>
      <w:bCs/>
      <w:color w:val="000000" w:themeColor="text1"/>
      <w:kern w:val="32"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qFormat/>
    <w:rsid w:val="003619D6"/>
    <w:pPr>
      <w:keepNext/>
      <w:tabs>
        <w:tab w:val="left" w:pos="567"/>
      </w:tabs>
      <w:outlineLvl w:val="1"/>
    </w:pPr>
    <w:rPr>
      <w:b/>
      <w:bCs/>
      <w:iCs/>
      <w:color w:val="000000" w:themeColor="text1"/>
      <w:u w:val="single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D33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4E93"/>
    <w:rPr>
      <w:rFonts w:cs="Arial"/>
      <w:b/>
      <w:bCs/>
      <w:color w:val="000000" w:themeColor="text1"/>
      <w:kern w:val="32"/>
      <w:sz w:val="28"/>
      <w:szCs w:val="32"/>
    </w:rPr>
  </w:style>
  <w:style w:type="character" w:customStyle="1" w:styleId="Naslov2Char">
    <w:name w:val="Naslov 2 Char"/>
    <w:basedOn w:val="Zadanifontodlomka"/>
    <w:link w:val="Naslov2"/>
    <w:rsid w:val="003619D6"/>
    <w:rPr>
      <w:b/>
      <w:bCs/>
      <w:iCs/>
      <w:color w:val="000000" w:themeColor="text1"/>
      <w:sz w:val="24"/>
      <w:szCs w:val="24"/>
      <w:u w:val="single"/>
      <w:lang w:eastAsia="ja-JP"/>
    </w:rPr>
  </w:style>
  <w:style w:type="character" w:customStyle="1" w:styleId="Naslov3Char">
    <w:name w:val="Naslov 3 Char"/>
    <w:basedOn w:val="Zadanifontodlomka"/>
    <w:rsid w:val="00B56807"/>
    <w:rPr>
      <w:rFonts w:ascii="Arial" w:hAnsi="Arial" w:cs="Arial"/>
      <w:b/>
      <w:bCs/>
      <w:sz w:val="22"/>
      <w:szCs w:val="22"/>
      <w:lang w:eastAsia="ja-JP"/>
    </w:rPr>
  </w:style>
  <w:style w:type="paragraph" w:styleId="Opisslike">
    <w:name w:val="caption"/>
    <w:basedOn w:val="Normal"/>
    <w:next w:val="Normal"/>
    <w:uiPriority w:val="35"/>
    <w:unhideWhenUsed/>
    <w:qFormat/>
    <w:rsid w:val="00E0028D"/>
    <w:pPr>
      <w:spacing w:after="200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E0028D"/>
    <w:rPr>
      <w:b/>
      <w:bCs/>
    </w:rPr>
  </w:style>
  <w:style w:type="character" w:styleId="Istaknuto">
    <w:name w:val="Emphasis"/>
    <w:basedOn w:val="Zadanifontodlomka"/>
    <w:uiPriority w:val="20"/>
    <w:qFormat/>
    <w:rsid w:val="00E0028D"/>
    <w:rPr>
      <w:i/>
      <w:iCs/>
    </w:rPr>
  </w:style>
  <w:style w:type="paragraph" w:styleId="Bezproreda">
    <w:name w:val="No Spacing"/>
    <w:uiPriority w:val="1"/>
    <w:qFormat/>
    <w:rsid w:val="00E0028D"/>
    <w:rPr>
      <w:rFonts w:asciiTheme="minorHAnsi" w:hAnsiTheme="minorHAnsi" w:cstheme="minorBidi"/>
      <w:sz w:val="22"/>
      <w:szCs w:val="22"/>
    </w:rPr>
  </w:style>
  <w:style w:type="paragraph" w:styleId="Odlomakpopisa">
    <w:name w:val="List Paragraph"/>
    <w:aliases w:val="Yellow Bullet,Normal bullet 2,Table/Figure Heading,Listeafsnit,Dot pt,No Spacing1,List Paragraph Char Char Char,Indicator Text,Numbered Para 1,List Paragraph1,Bullet Points,MAIN CONTENT,List Paragraph12,List Paragraph11,OBC Bullet"/>
    <w:basedOn w:val="Normal"/>
    <w:link w:val="OdlomakpopisaChar"/>
    <w:uiPriority w:val="34"/>
    <w:qFormat/>
    <w:rsid w:val="00E0028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478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4785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4785B"/>
    <w:rPr>
      <w:rFonts w:ascii="Arial" w:hAnsi="Arial"/>
      <w:lang w:eastAsia="ja-JP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478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4785B"/>
    <w:rPr>
      <w:rFonts w:ascii="Arial" w:hAnsi="Arial"/>
      <w:b/>
      <w:bCs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78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85B"/>
    <w:rPr>
      <w:rFonts w:ascii="Tahoma" w:hAnsi="Tahoma" w:cs="Tahoma"/>
      <w:sz w:val="16"/>
      <w:szCs w:val="16"/>
      <w:lang w:eastAsia="ja-JP"/>
    </w:rPr>
  </w:style>
  <w:style w:type="paragraph" w:styleId="TOCNaslov">
    <w:name w:val="TOC Heading"/>
    <w:basedOn w:val="Naslov1"/>
    <w:next w:val="Normal"/>
    <w:uiPriority w:val="39"/>
    <w:unhideWhenUsed/>
    <w:qFormat/>
    <w:rsid w:val="005D367A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C87632"/>
    <w:pPr>
      <w:tabs>
        <w:tab w:val="left" w:pos="567"/>
        <w:tab w:val="right" w:leader="dot" w:pos="9629"/>
      </w:tabs>
      <w:spacing w:after="100"/>
    </w:pPr>
    <w:rPr>
      <w:color w:val="000000" w:themeColor="text1"/>
    </w:rPr>
  </w:style>
  <w:style w:type="character" w:styleId="Hiperveza">
    <w:name w:val="Hyperlink"/>
    <w:basedOn w:val="Zadanifontodlomka"/>
    <w:uiPriority w:val="99"/>
    <w:unhideWhenUsed/>
    <w:rsid w:val="005D367A"/>
    <w:rPr>
      <w:color w:val="0000FF" w:themeColor="hyperlink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A32B4"/>
    <w:pPr>
      <w:spacing w:after="100"/>
      <w:ind w:left="440"/>
    </w:pPr>
  </w:style>
  <w:style w:type="paragraph" w:styleId="Tekstfusnote">
    <w:name w:val="footnote text"/>
    <w:basedOn w:val="Normal"/>
    <w:link w:val="TekstfusnoteChar"/>
    <w:uiPriority w:val="99"/>
    <w:unhideWhenUsed/>
    <w:rsid w:val="00E71FE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71FEA"/>
    <w:rPr>
      <w:rFonts w:ascii="Arial" w:hAnsi="Arial"/>
      <w:lang w:eastAsia="ja-JP"/>
    </w:rPr>
  </w:style>
  <w:style w:type="character" w:styleId="Referencafusnote">
    <w:name w:val="footnote reference"/>
    <w:basedOn w:val="Zadanifontodlomka"/>
    <w:uiPriority w:val="99"/>
    <w:unhideWhenUsed/>
    <w:rsid w:val="00E71FEA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A06B4B"/>
  </w:style>
  <w:style w:type="character" w:customStyle="1" w:styleId="Naslov4Char">
    <w:name w:val="Naslov 4 Char"/>
    <w:basedOn w:val="Zadanifontodlomka"/>
    <w:link w:val="Naslov4"/>
    <w:uiPriority w:val="9"/>
    <w:rsid w:val="005D332D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4"/>
      <w:lang w:eastAsia="ja-JP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C87632"/>
    <w:pPr>
      <w:tabs>
        <w:tab w:val="left" w:pos="851"/>
        <w:tab w:val="right" w:leader="dot" w:pos="9629"/>
      </w:tabs>
      <w:spacing w:after="100" w:line="276" w:lineRule="auto"/>
      <w:ind w:left="567"/>
      <w:jc w:val="left"/>
    </w:pPr>
    <w:rPr>
      <w:rFonts w:eastAsiaTheme="minorEastAsia" w:cstheme="minorBidi"/>
      <w:color w:val="000000" w:themeColor="text1"/>
      <w:sz w:val="22"/>
      <w:szCs w:val="22"/>
      <w:lang w:val="en-US"/>
    </w:rPr>
  </w:style>
  <w:style w:type="paragraph" w:styleId="Revizija">
    <w:name w:val="Revision"/>
    <w:hidden/>
    <w:uiPriority w:val="99"/>
    <w:semiHidden/>
    <w:rsid w:val="00270CAF"/>
    <w:rPr>
      <w:rFonts w:ascii="Arial" w:hAnsi="Arial"/>
      <w:sz w:val="22"/>
      <w:lang w:eastAsia="ja-JP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EA4E48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EA4E48"/>
    <w:rPr>
      <w:rFonts w:ascii="Tahoma" w:hAnsi="Tahoma" w:cs="Tahoma"/>
      <w:sz w:val="16"/>
      <w:szCs w:val="16"/>
      <w:lang w:eastAsia="ja-JP"/>
    </w:rPr>
  </w:style>
  <w:style w:type="table" w:styleId="Reetkatablice">
    <w:name w:val="Table Grid"/>
    <w:basedOn w:val="Obinatablica"/>
    <w:uiPriority w:val="59"/>
    <w:rsid w:val="004717C4"/>
    <w:rPr>
      <w:rFonts w:eastAsia="MS Mincho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0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0597"/>
    <w:rPr>
      <w:rFonts w:ascii="Arial" w:hAnsi="Arial"/>
      <w:sz w:val="22"/>
      <w:szCs w:val="24"/>
      <w:lang w:eastAsia="ja-JP"/>
    </w:rPr>
  </w:style>
  <w:style w:type="paragraph" w:styleId="Podnoje">
    <w:name w:val="footer"/>
    <w:basedOn w:val="Normal"/>
    <w:link w:val="PodnojeChar"/>
    <w:uiPriority w:val="99"/>
    <w:unhideWhenUsed/>
    <w:rsid w:val="008D0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0597"/>
    <w:rPr>
      <w:rFonts w:ascii="Arial" w:hAnsi="Arial"/>
      <w:sz w:val="22"/>
      <w:szCs w:val="24"/>
      <w:lang w:eastAsia="ja-JP"/>
    </w:rPr>
  </w:style>
  <w:style w:type="paragraph" w:customStyle="1" w:styleId="TechnicalBlock">
    <w:name w:val="Technical Block"/>
    <w:basedOn w:val="Normal"/>
    <w:next w:val="Normal"/>
    <w:link w:val="TechnicalBlockChar"/>
    <w:rsid w:val="0043592E"/>
    <w:pPr>
      <w:spacing w:after="240"/>
      <w:jc w:val="center"/>
    </w:pPr>
    <w:rPr>
      <w:szCs w:val="22"/>
    </w:rPr>
  </w:style>
  <w:style w:type="paragraph" w:customStyle="1" w:styleId="Text2">
    <w:name w:val="Text 2"/>
    <w:basedOn w:val="Normal"/>
    <w:rsid w:val="0043592E"/>
    <w:pPr>
      <w:spacing w:before="120" w:after="120" w:line="360" w:lineRule="auto"/>
      <w:ind w:left="1134"/>
      <w:jc w:val="left"/>
    </w:pPr>
    <w:rPr>
      <w:rFonts w:eastAsia="Calibri"/>
      <w:szCs w:val="22"/>
    </w:rPr>
  </w:style>
  <w:style w:type="paragraph" w:customStyle="1" w:styleId="PointManual">
    <w:name w:val="Point Manual"/>
    <w:basedOn w:val="Normal"/>
    <w:rsid w:val="0043592E"/>
    <w:pPr>
      <w:spacing w:before="120" w:after="120" w:line="360" w:lineRule="auto"/>
      <w:ind w:left="567" w:hanging="567"/>
      <w:jc w:val="left"/>
    </w:pPr>
    <w:rPr>
      <w:rFonts w:eastAsia="Calibri"/>
      <w:szCs w:val="22"/>
    </w:rPr>
  </w:style>
  <w:style w:type="paragraph" w:customStyle="1" w:styleId="PointManual1">
    <w:name w:val="Point Manual (1)"/>
    <w:basedOn w:val="Normal"/>
    <w:rsid w:val="0043592E"/>
    <w:pPr>
      <w:spacing w:before="120" w:after="120" w:line="360" w:lineRule="auto"/>
      <w:ind w:left="1134" w:hanging="567"/>
      <w:jc w:val="left"/>
    </w:pPr>
    <w:rPr>
      <w:rFonts w:eastAsia="Calibri"/>
      <w:szCs w:val="22"/>
    </w:rPr>
  </w:style>
  <w:style w:type="paragraph" w:customStyle="1" w:styleId="Annex">
    <w:name w:val="Annex"/>
    <w:basedOn w:val="Normal"/>
    <w:next w:val="Normal"/>
    <w:rsid w:val="0043592E"/>
    <w:pPr>
      <w:spacing w:before="120" w:after="120" w:line="360" w:lineRule="auto"/>
      <w:jc w:val="right"/>
    </w:pPr>
    <w:rPr>
      <w:rFonts w:eastAsia="Calibri"/>
      <w:b/>
      <w:szCs w:val="22"/>
      <w:u w:val="single"/>
    </w:rPr>
  </w:style>
  <w:style w:type="character" w:customStyle="1" w:styleId="TechnicalBlockChar">
    <w:name w:val="Technical Block Char"/>
    <w:basedOn w:val="Zadanifontodlomka"/>
    <w:link w:val="TechnicalBlock"/>
    <w:rsid w:val="0043592E"/>
    <w:rPr>
      <w:sz w:val="24"/>
      <w:szCs w:val="22"/>
    </w:rPr>
  </w:style>
  <w:style w:type="paragraph" w:customStyle="1" w:styleId="ManualNumPar1">
    <w:name w:val="Manual NumPar 1"/>
    <w:basedOn w:val="Normal"/>
    <w:next w:val="Normal"/>
    <w:rsid w:val="0043592E"/>
    <w:pPr>
      <w:spacing w:before="120" w:after="120" w:line="360" w:lineRule="auto"/>
      <w:ind w:left="850" w:hanging="850"/>
      <w:jc w:val="left"/>
    </w:pPr>
    <w:rPr>
      <w:rFonts w:eastAsia="Calibri"/>
      <w:szCs w:val="22"/>
    </w:rPr>
  </w:style>
  <w:style w:type="paragraph" w:customStyle="1" w:styleId="ManualNumPar2">
    <w:name w:val="Manual NumPar 2"/>
    <w:basedOn w:val="Normal"/>
    <w:next w:val="Normal"/>
    <w:rsid w:val="0043592E"/>
    <w:pPr>
      <w:spacing w:before="120" w:after="120" w:line="360" w:lineRule="auto"/>
      <w:ind w:left="850" w:hanging="850"/>
      <w:jc w:val="left"/>
    </w:pPr>
    <w:rPr>
      <w:rFonts w:eastAsia="Calibri"/>
      <w:szCs w:val="22"/>
    </w:rPr>
  </w:style>
  <w:style w:type="character" w:customStyle="1" w:styleId="OdlomakpopisaChar">
    <w:name w:val="Odlomak popisa Char"/>
    <w:aliases w:val="Yellow Bullet Char,Normal bullet 2 Char,Table/Figure Heading Char,Listeafsnit Char,Dot pt Char,No Spacing1 Char,List Paragraph Char Char Char Char,Indicator Text Char,Numbered Para 1 Char,List Paragraph1 Char,Bullet Points Char"/>
    <w:link w:val="Odlomakpopisa"/>
    <w:uiPriority w:val="34"/>
    <w:qFormat/>
    <w:locked/>
    <w:rsid w:val="0043592E"/>
    <w:rPr>
      <w:rFonts w:ascii="Arial" w:hAnsi="Arial"/>
      <w:sz w:val="22"/>
      <w:szCs w:val="24"/>
      <w:lang w:eastAsia="ja-JP"/>
    </w:rPr>
  </w:style>
  <w:style w:type="table" w:customStyle="1" w:styleId="Reetkatablice1">
    <w:name w:val="Rešetka tablice1"/>
    <w:basedOn w:val="Obinatablica"/>
    <w:next w:val="Reetkatablice"/>
    <w:uiPriority w:val="59"/>
    <w:rsid w:val="00936C4D"/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B384-5E6F-44AB-88E6-0BD08AAF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11</Pages>
  <Words>4120</Words>
  <Characters>23484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27549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Grgasović</dc:creator>
  <cp:lastModifiedBy>Antonija Bračun</cp:lastModifiedBy>
  <cp:revision>59</cp:revision>
  <cp:lastPrinted>2018-04-26T07:32:00Z</cp:lastPrinted>
  <dcterms:created xsi:type="dcterms:W3CDTF">2018-04-16T14:42:00Z</dcterms:created>
  <dcterms:modified xsi:type="dcterms:W3CDTF">2018-05-24T13:04:00Z</dcterms:modified>
</cp:coreProperties>
</file>